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234" w:rsidRPr="00B37402" w:rsidRDefault="00E33234" w:rsidP="00E33234">
      <w:pPr>
        <w:suppressAutoHyphens/>
        <w:spacing w:after="120" w:line="276" w:lineRule="auto"/>
        <w:rPr>
          <w:rFonts w:ascii="Calibri" w:eastAsia="Calibri" w:hAnsi="Calibri" w:cs="Times New Roman"/>
          <w:lang w:val="sr-Latn-RS" w:eastAsia="zh-CN"/>
        </w:rPr>
      </w:pPr>
      <w:r w:rsidRPr="00B37402">
        <w:rPr>
          <w:rFonts w:ascii="Times New Roman" w:eastAsia="Calibri" w:hAnsi="Times New Roman" w:cs="Times New Roman"/>
          <w:b/>
          <w:lang w:val="uz-Cyrl-UZ" w:eastAsia="zh-CN"/>
        </w:rPr>
        <w:t>Табела 6.4.</w:t>
      </w:r>
      <w:r w:rsidRPr="00B37402">
        <w:rPr>
          <w:rFonts w:ascii="Times New Roman" w:eastAsia="Calibri" w:hAnsi="Times New Roman" w:cs="Times New Roman"/>
          <w:lang w:val="sr-Cyrl-RS" w:eastAsia="zh-CN"/>
        </w:rPr>
        <w:t xml:space="preserve"> Списак </w:t>
      </w:r>
      <w:r w:rsidRPr="00B37402">
        <w:rPr>
          <w:rFonts w:ascii="Times New Roman" w:eastAsia="Calibri" w:hAnsi="Times New Roman" w:cs="Times New Roman"/>
          <w:lang w:eastAsia="zh-CN"/>
        </w:rPr>
        <w:t>SCI</w:t>
      </w:r>
      <w:r w:rsidRPr="00B37402">
        <w:rPr>
          <w:rFonts w:ascii="Times New Roman" w:eastAsia="Calibri" w:hAnsi="Times New Roman" w:cs="Times New Roman"/>
          <w:lang w:val="uz-Cyrl-UZ" w:eastAsia="zh-CN"/>
        </w:rPr>
        <w:t>/</w:t>
      </w:r>
      <w:r w:rsidRPr="00B37402">
        <w:rPr>
          <w:rFonts w:ascii="Times New Roman" w:eastAsia="Calibri" w:hAnsi="Times New Roman" w:cs="Times New Roman"/>
          <w:lang w:val="sr-Cyrl-CS" w:eastAsia="zh-CN"/>
        </w:rPr>
        <w:t xml:space="preserve"> </w:t>
      </w:r>
      <w:r w:rsidRPr="00B37402">
        <w:rPr>
          <w:rFonts w:ascii="Times New Roman" w:eastAsia="Calibri" w:hAnsi="Times New Roman" w:cs="Times New Roman"/>
          <w:lang w:val="sr-Cyrl-RS" w:eastAsia="zh-CN"/>
        </w:rPr>
        <w:t xml:space="preserve">ССЦИ-индексираних радова по годинама за претходни </w:t>
      </w:r>
      <w:r w:rsidRPr="00B37402">
        <w:rPr>
          <w:rFonts w:ascii="Times New Roman" w:eastAsia="Calibri" w:hAnsi="Times New Roman" w:cs="Times New Roman"/>
          <w:lang w:val="uz-Cyrl-UZ" w:eastAsia="zh-CN"/>
        </w:rPr>
        <w:t>трогодишњи</w:t>
      </w:r>
      <w:r w:rsidRPr="00B37402">
        <w:rPr>
          <w:rFonts w:ascii="Times New Roman" w:eastAsia="Calibri" w:hAnsi="Times New Roman" w:cs="Times New Roman"/>
          <w:lang w:val="sr-Cyrl-RS" w:eastAsia="zh-CN"/>
        </w:rPr>
        <w:t xml:space="preserve"> период.</w:t>
      </w:r>
    </w:p>
    <w:tbl>
      <w:tblPr>
        <w:tblW w:w="0" w:type="auto"/>
        <w:tblInd w:w="108" w:type="dxa"/>
        <w:tblLayout w:type="fixed"/>
        <w:tblLook w:val="0000" w:firstRow="0" w:lastRow="0" w:firstColumn="0" w:lastColumn="0" w:noHBand="0" w:noVBand="0"/>
      </w:tblPr>
      <w:tblGrid>
        <w:gridCol w:w="567"/>
        <w:gridCol w:w="7655"/>
        <w:gridCol w:w="922"/>
      </w:tblGrid>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pacing w:after="60" w:line="276" w:lineRule="auto"/>
              <w:rPr>
                <w:rFonts w:ascii="Calibri" w:eastAsia="Calibri" w:hAnsi="Calibri" w:cs="Times New Roman"/>
                <w:lang w:val="uz-Cyrl-UZ" w:eastAsia="zh-CN"/>
              </w:rPr>
            </w:pPr>
            <w:r w:rsidRPr="00B37402">
              <w:rPr>
                <w:rFonts w:ascii="Times New Roman" w:eastAsia="Calibri" w:hAnsi="Times New Roman" w:cs="Times New Roman"/>
                <w:lang w:val="sr-Cyrl-CS" w:eastAsia="zh-CN"/>
              </w:rPr>
              <w:t>Р.Б.</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pacing w:after="60" w:line="276" w:lineRule="auto"/>
              <w:rPr>
                <w:rFonts w:ascii="Calibri" w:eastAsia="Calibri" w:hAnsi="Calibri" w:cs="Times New Roman"/>
                <w:lang w:val="uz-Cyrl-UZ" w:eastAsia="zh-CN"/>
              </w:rPr>
            </w:pPr>
            <w:r w:rsidRPr="00B37402">
              <w:rPr>
                <w:rFonts w:ascii="Times New Roman" w:eastAsia="Calibri" w:hAnsi="Times New Roman" w:cs="Times New Roman"/>
                <w:lang w:val="sr-Cyrl-CS" w:eastAsia="zh-CN"/>
              </w:rPr>
              <w:t>Радови (на</w:t>
            </w:r>
            <w:r w:rsidRPr="00B37402">
              <w:rPr>
                <w:rFonts w:ascii="Times New Roman" w:eastAsia="Calibri" w:hAnsi="Times New Roman" w:cs="Times New Roman"/>
                <w:lang w:val="uz-Cyrl-UZ" w:eastAsia="zh-CN"/>
              </w:rPr>
              <w:t xml:space="preserve"> </w:t>
            </w:r>
            <w:r w:rsidRPr="00B37402">
              <w:rPr>
                <w:rFonts w:ascii="Times New Roman" w:eastAsia="Calibri" w:hAnsi="Times New Roman" w:cs="Times New Roman"/>
                <w:lang w:val="sr-Cyrl-CS" w:eastAsia="zh-CN"/>
              </w:rPr>
              <w:t>СЦИ/ ССЦИ листи)</w:t>
            </w:r>
            <w:r w:rsidRPr="00B37402">
              <w:rPr>
                <w:rFonts w:ascii="Times New Roman" w:eastAsia="Calibri" w:hAnsi="Times New Roman" w:cs="Times New Roman"/>
                <w:color w:val="FF0000"/>
                <w:lang w:val="uz-Cyrl-UZ" w:eastAsia="zh-CN"/>
              </w:rPr>
              <w:t xml:space="preserve"> </w:t>
            </w:r>
            <w:r w:rsidRPr="00B37402">
              <w:rPr>
                <w:rFonts w:ascii="Times New Roman" w:eastAsia="Calibri" w:hAnsi="Times New Roman" w:cs="Times New Roman"/>
                <w:lang w:val="sr-Cyrl-CS" w:eastAsia="zh-CN"/>
              </w:rPr>
              <w:t xml:space="preserve">  у научним часописима са званичне листе ресорног министарства за науку у сладу са захтевима допунских стандарда за дато поље (аутори, назив рада, часопис, година)</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pacing w:after="60" w:line="276" w:lineRule="auto"/>
              <w:rPr>
                <w:rFonts w:ascii="Calibri" w:eastAsia="Calibri" w:hAnsi="Calibri" w:cs="Times New Roman"/>
                <w:lang w:val="uz-Cyrl-UZ" w:eastAsia="zh-CN"/>
              </w:rPr>
            </w:pPr>
            <w:r w:rsidRPr="00B37402">
              <w:rPr>
                <w:rFonts w:ascii="Times New Roman" w:eastAsia="Calibri" w:hAnsi="Times New Roman" w:cs="Times New Roman"/>
                <w:lang w:val="sr-Cyrl-CS" w:eastAsia="zh-CN"/>
              </w:rPr>
              <w:t>М</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Gordić, S., Levajković, T., &amp; Oparnica, L. (2021). Stochastic parabolic equations with singular potentials. Chaos, Solitons &amp; Fractals, 151, 111245.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M21a</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2.</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Süli, T., Kozoderović G, Potkonjak, A., Vidanović, D., Tešović, B., Vračar, V., Miladinović Tasić, N., Stensvold, C. R., Lalošević, V. (2021). Subtyping Blastocystis in pigs and humans revealed unusual avian-specific subtype ST6 in humans in Serbia. Zoonoses Public  Health, 68:1–5. https://doi.org/10.1111/zph.12829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M21a</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3.</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Oparnica, Lj., Suli, E. (2020). Well-Posedness of the Fractional Zener Wave Equation for Heterogeneous Viscoelastic Materials. Fractional Calculus and Applied Analysis,  23 /1, 126-166</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M21a</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4.</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Žižović M., Pamučar D., Ćirović G., Žižović M. M. and Miljković D. B. (2020). A Model for Determining Weight Coefficients by Forming a Non-Decreasing Series at  Criteria Significance Levels (NDSL). Mathematics, Vol. 8, Issue 5, 745, May 2020, ISSN: 2227-7390, doi: 10.3390/math8050745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M21a</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5.</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Bozic, P. R., Djordjic, V., Markovic, L., Cvejic, D., Trajković, N., Halasi, S., &amp; Ostojic, S. (2021). Dietary patterns and weight status of young school children in Serbia. Frontiers in Public Health, 9, 644.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M21</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6.</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Kerekes, N., Bador, K., Sfendla, A., Belaatar, M., Mzadi, A., Jovic, V. Damjanovic, R., Erladsson, M., Nguyen, H. T M., Nguyen, N. T. A., Ulberg, S. F., Kuch-Cecconi, R. H., Meszaros, Zs. Sz., Stevanovic, D., Senhaji. M., Ahlstrom, B, H., &amp; Zouini, B. (2021). Changes in Adolescents’ Psychosocial Functioning and Well-Being as a Consequence of Long-Term COVID-19 Restrictions. International Journal of Environmental Research and Public Health, 18(16), 8755.  doi:10.3390/ijerph18168755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M21</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7.</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 xml:space="preserve">. D. Jovic,V.Jacevic,K. </w:t>
            </w:r>
          </w:p>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Kuca, Borišev, J. Mrdjanovic, D. Petrovic, M. Seke and A.</w:t>
            </w:r>
          </w:p>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 xml:space="preserve">Djordjevic. (2020). The Puzzling Potential of Carbon Nanomaterials: General </w:t>
            </w:r>
          </w:p>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 xml:space="preserve">Properties, Application, and Toxicity. </w:t>
            </w:r>
            <w:r w:rsidRPr="00B37402">
              <w:rPr>
                <w:rFonts w:ascii="Times New Roman" w:eastAsia="Calibri" w:hAnsi="Times New Roman" w:cs="Times New Roman"/>
                <w:i/>
                <w:iCs/>
                <w:lang w:val="sr-Cyrl-CS" w:eastAsia="zh-CN"/>
              </w:rPr>
              <w:t xml:space="preserve">Nanomaterials </w:t>
            </w:r>
            <w:r w:rsidRPr="00B37402">
              <w:rPr>
                <w:rFonts w:ascii="Times New Roman" w:eastAsia="Calibri" w:hAnsi="Times New Roman" w:cs="Times New Roman"/>
                <w:lang w:val="sr-Cyrl-CS" w:eastAsia="zh-CN"/>
              </w:rPr>
              <w:t>10(8), 1508.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M21</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8.</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Gordić, S., Oberguggenberger, M., Pilipović, S., &amp; Seleši, D. (2019). Generalized stochastic processes in algebras of generalized functions: Independence, stationarity and SPDEs. Journal of Mathematical Analysis and Applications, 475(2), 1196-1214.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M21</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9.</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T. M. Atanackovic, Ljubica Oparnica, and Dusan Zorica, Bifurcation analysis of rotating axially compressed imperfect nano-rod. ZAMM, Z. Angew. Math. Mech.DOI: 10.1002/zamm.201800284, 2019.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M21</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10.</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Konjik, Lj. Oparnica, and D. Zorica. Distributed-order fractional constitutive stress-strain relation in wave propagation modeling. Zeitschrift für angewandte Mathematik und Physik, 70:51, 2019.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M21</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11.</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Gorjanac Ranitović, M., Tepavčević, A. Representation of slim lattice by poset. Filomat 35 (3) (2021) 919 – 925. https://doi.org/10.2298/FIL2103919R</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M22</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12.</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 xml:space="preserve">Anđić, B., Šorgo, A., Cvjetićanin, S., Maričić, M., &amp; Stešević, D. (2021). Multisensory Identification of Characteristics of Reproductive Plant-Parts by People </w:t>
            </w:r>
            <w:r w:rsidRPr="00B37402">
              <w:rPr>
                <w:rFonts w:ascii="Times New Roman" w:eastAsia="Calibri" w:hAnsi="Times New Roman" w:cs="Times New Roman"/>
                <w:lang w:val="sr-Cyrl-CS" w:eastAsia="zh-CN"/>
              </w:rPr>
              <w:lastRenderedPageBreak/>
              <w:t>with Blindness or People with Ultra-Low-Vision. Exceptionality. doi: 10.1080/09362835.2021.1938055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lastRenderedPageBreak/>
              <w:t>M22</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13.</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Marić, M., Subotić, M., Dudić, B., Melović, B., Branković, N., Milisavljević, S. (2021). Evaluating Relations between Originality, Efficiency, Conformism and Entrepreneurial Potential of Students in a Fast Changing Business Environment, Sustainability, 13(4), 1593;</w:t>
            </w:r>
          </w:p>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https://doi.org/10.3390/su13041593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M22</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14.</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Kozoderović, G., Todorović, D.,  Đilas, M., Kartalović, B., Velhner, M.  (2021). White tailed eagles (Haliaeetus albicilla) in protected Danube wetlands as carriers of Escherichia coli with resistance and virulence genes. European Journal of Wildlife Research,  67:103. https://doi.org/10.1007/s10344-021-01547-6</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M22</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15.</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Gorjanac Ranitović, M., Tepavčević, A. (2021). Representation of slim lattice by poset. Filomat vol. 35 br. 3, str. 919-925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M22</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16.</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Cvetković B., Cvetković M., Petrušić T., Đorđić V., Bubanj S., Popović B., Andrašić S., Buišić S. &amp; Bogataj Š. (2021). Nutrition and Physical Activity Behavior in 11-14-Year-Old Schoolchildren in Serbia. Children, 8(625), 1-10. ISSN 2227-9067. https://doi.org/10.3390/children8080625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M22</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17.</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Marković, L., Đorđić, V., Trajković, N., Božić, P., Halaši, S., Cvejić, D., &amp; Ostojić, S. M. (2021). Childhood Obesity in Serbia on the Rise. Children, 8(5), 409.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M22</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18.</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Lambić D., Đorić B., Ivakić S. (2020) Investigating the effect of the use of code.org on younger elementary school students’ attitudes towards programming, Behaviour &amp; Information Technology, 1-12, DOI: 10.1080/0144929X.2020.1781931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M22</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19.</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Alhadawi H.S., Lambić D., Zolkipli M.F., Ahmad M. (2020) Globalized firefly algorithm and chaos for designing substitution box, Journal of Information Security and Applications, 55 102671, DOI: 10.1016/j.jisa.2020.102671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M22</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20.</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Alhadawi H.S., M.A. Majid., Lambić D., Ahmad M. (2020) A novel method of S-box design based on discrete chaotic maps and cuckoo search algorithm, Multimedia Tools and Applications, 1-18, DOI: 10.1007/s11042-020-10048-8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M22</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21.</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Zorica, D., Oparnica, Lj. (2020). Energy dissipation for hereditary and energy conservation for non-local fractional wave equations. Philosophical transactions of the Royal Society A – Mathematical, Phisical and Engineering Sciences, 378 / 2172.</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M22</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22.</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Cyrl-CS" w:eastAsia="zh-CN"/>
              </w:rPr>
              <w:t>Mitrovic Veljkovic, S., Maric, M., Subotic,  M., Dudic, B., Greguš, M. (2019). Family entrepreneurship and personal career preferences as the factors of differences in the development of entrepreneurial potential of students. Sustainability, 11, 5693, 1-23.</w:t>
            </w:r>
            <w:r w:rsidRPr="00B37402">
              <w:rPr>
                <w:rFonts w:ascii="Times New Roman" w:eastAsia="Calibri" w:hAnsi="Times New Roman" w:cs="Times New Roman"/>
                <w:lang w:val="sr-Latn-RS" w:eastAsia="zh-CN"/>
              </w:rPr>
              <w:t xml:space="preserve"> n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M22</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23.</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pacing w:after="20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Seke M., Petrovic D., Labudovic Borovic M., Borisev I., Novakovic M., Rakocevic Z., Djordjevic A. (2019). Fullerenol/Iron nanocomposite diminishes doxorubicin-induced toxicity. Journal of Nanoparticle Research, 21(11), November 2019; DOI: 10.1007/s11051-019-4681-4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M22</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24.</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Lazić, D. B., Knežević, B. J. &amp; Maričić, M. S. (2021). The Influence of Project-based Learning on Student Achievement in Elementary Mathematics Education. South African Journal of Education, Vol. 41, No 3/2021. Pretoria, South African Republic: Education Association of SA (in print) [ISSN 0256-0100 (print), ISSN 2076-3433 (online), doi: 10.15700/saje.v41n3a1909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lastRenderedPageBreak/>
              <w:t>25.</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Paskali, Lj., Ivanović, L. &amp; Ivanović, D. (2021). Use analysis of the digital library of PhD dissertations defended at the University of Novi Sad, The Electronic Library, 39(1), pp. 97-117, https://doi.org/10.1108/EL-11-2019-0268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26.</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Paskali, L., Ivanovic, L., Kapitsaki, G., Ivanovic, D., Surla, B.D. and Surla, D., (2021) Personalization of Search Results Representation of a Digital Library. Information Technology Libraries, 40(1)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27.</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Rastovac, D., Mandić, M., Majski, V., &amp; Cvetković, D. (2021). Exploring the Achievement and Motivation of Leaning a Text Programming Language Among Elementary School Students. Croatian Јounal of Еducation, ISSN 1848-5189, vol. 23 br. 3, str. 819-850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28.</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Cyrl-CS" w:eastAsia="zh-CN"/>
              </w:rPr>
              <w:t>Mandić, M. (202</w:t>
            </w:r>
            <w:r w:rsidRPr="00B37402">
              <w:rPr>
                <w:rFonts w:ascii="Times New Roman" w:eastAsia="Calibri" w:hAnsi="Times New Roman" w:cs="Times New Roman"/>
                <w:lang w:val="sr-Latn-RS" w:eastAsia="zh-CN"/>
              </w:rPr>
              <w:t>2</w:t>
            </w:r>
            <w:r w:rsidRPr="00B37402">
              <w:rPr>
                <w:rFonts w:ascii="Times New Roman" w:eastAsia="Calibri" w:hAnsi="Times New Roman" w:cs="Times New Roman"/>
                <w:lang w:val="sr-Cyrl-CS" w:eastAsia="zh-CN"/>
              </w:rPr>
              <w:t>). Semantic Web based platform for harmonization of teacher education curricula. Computer Science and Information Systems (ComSIS). ISSN 1820-0214, vol. 19 br. 1, str. 229-250</w:t>
            </w:r>
            <w:r w:rsidRPr="00B37402">
              <w:rPr>
                <w:rFonts w:ascii="Times New Roman" w:eastAsia="Calibri" w:hAnsi="Times New Roman" w:cs="Times New Roman"/>
                <w:lang w:val="sr-Latn-RS" w:eastAsia="zh-CN"/>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29.</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Rakic, D., Lazić, B., &amp; Marić, M. (2021). The influence of differentiated mathematical tasks on students’ logical-combinatorial thinking in elementary mathematics teaching. Slavonic Pedagogical Studies Journal. No 1, vol. 10. p. 78-92. [ISSN 1339-8660 (print), ISSN 1339-9055 (online), doi: 10.18355/PG.2021.10.1.7.]</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30.</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M. M., Županec, V. D., Babić-Kekez, S., &amp; Trbojević, A. R. (2021).  Methodological approaches to the study of inquiry-based learning in natural science education. Problems of Education in the 21st Century, 79(5), 728-750. https://doi.org/10.33225/pec/21.79.728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31.</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Trbojević, A., E. Borić, V. Hus, &amp; Španović, S. (2021). Implementation of content related to children’s rights in schools: How to teach them?—perceptions of future teachers in Serbia, Croatia, and Slovenia. Education, Citizenship and Social Justice, 1–16. http://DOI: 10.1177/17461979211061796</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32.</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Šumonja, M. (2021). Kripke's Wittgenstein and Semantic Factualism. Journal for the History of Analytical Philosophy 9(3), str. 1–19; DOI 10.15173/jhap.v9i3.4370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33.</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 xml:space="preserve">Antolović, M. (2021). Writing History Under the «Dictatorship of the Proletariat»: Yugoslav historiography 1945–1991. Revista de História das Ideias, 39, 49–73. </w:t>
            </w:r>
          </w:p>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https://doi.org/10.14195/2183-8925_39_2</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34.</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Knežević, Lj., Halupka-Rešetar, S., Miškeljin, I., &amp; Mirić, M. (2021). Millennials as dictionary users: A study of dictionary use habits of Serbian EFL students. Sage Open 11/2. doi: https://doi.org/10.1177/21582440211008422</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35.</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Jurkić Sviben, T., Jeremić, B. &amp; Gortan-Carlin, I., P. (2021, in press). Student teachers' opinion regarding personal competencies for teaching the Music culture class in primary education. Croatian Journal of Education, Faculty of Teacher Education, Sp.Ed. Zagreb ISSN: 1848-5197.</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36.</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Đorđić, D., Šimonji Černak, R. i Beljanski M. (2021). Izazovi za novu ulogu i nove kompetencije nastavnika: iskustva u nastavi na daljinu. Društvene i humanističke studije, 16(3), 481-504.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37.</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Černak, R. Š., &amp; Beljanski, M. (2021). Pedagogical-psychological subjects in teacher education faculties in Serbia: a proposal of the core curriculum. International Journal of Instruction, 14(3), 929-944. https://doi.org/10.29333/iji.2021.14354a</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lastRenderedPageBreak/>
              <w:t>38.</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Cvijetić, M., Kaljača, S., i Glumbić, N. (2021). The role of personal and environmental factors in autonomous behaviour of people with intellectual disability. International Journal of Disability Development and Education. doi: 10.1080/1034912X.2021.1989669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39.</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Paskali, Lj., Ivanović, L. &amp; Ivanović, D. (202</w:t>
            </w:r>
            <w:r w:rsidRPr="00B37402">
              <w:rPr>
                <w:rFonts w:ascii="Times New Roman" w:eastAsia="Calibri" w:hAnsi="Times New Roman" w:cs="Times New Roman"/>
                <w:lang w:val="sr-Latn-RS" w:eastAsia="zh-CN"/>
              </w:rPr>
              <w:t>1</w:t>
            </w:r>
            <w:r w:rsidRPr="00B37402">
              <w:rPr>
                <w:rFonts w:ascii="Times New Roman" w:eastAsia="Calibri" w:hAnsi="Times New Roman" w:cs="Times New Roman"/>
                <w:lang w:val="sr-Cyrl-CS" w:eastAsia="zh-CN"/>
              </w:rPr>
              <w:t>). Use analysis of the digital library of PhD dissertations defended at the University of Novi Sad, The Electronic Library, vol. 39 br. 1, str. 97-117</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40.</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pacing w:after="20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 xml:space="preserve">Vesna Rodić Lukić &amp; Nemanja Lukić (2020) Assessment of student satisfaction model: evidence of Western Balkans, Total Quality Management &amp; Business Excellence, 31:13-14, 1506-1518. DOI: 10.1080/14783363.2018.1489227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41.</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Marić, M., Sakač, M. (2020). Metacognition in preschool children - indicators, developmental and socio-educational differences. Československá psychologie, 64(1), 1-17.</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42.</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Nikolic, G., Radoman, V., &amp; Dimoski, S. (2020). An Empirical Verification of the Integral Development Method for Deaf Children. Croatian Journal of Education, 22(1), 41-76. https://doi.org/10.15516/cje.v22i1.3258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43.</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Šumonja, Miloš (2020). Neoliberalism is not dead – On political implications of Covid 19. Capital and Class, 1-13. DOI 10.1177/0309816820982381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44.</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Beljanski, M., Dedić Bukvić, E. (2020). Comparative Overview of the Presence of Intercultural Education of Teacher Trainees in Serbia and Bosnia and Herzegovina. Journal of Ethnic and Cultural Studies, Vol. 7, No. 3, 1-16, http://dx.doi.org/10.29333/ejecs/412</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45.</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Jeremić, B., Pećanac, R., Stanković, E. &amp; Djurdjević, T. (2020). Music Technology Software in Adopting Music Teaching Contents. Croatian Journal of Education, Faculty of Teacher Education, 22(1), pp. 263-286. Zagreb ISSN: 1848-5197. doi.org/10.15516/cje.v22i1.3282</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46.</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Jeremić, B. &amp; Stanković, E. (2020). The Мethodical Model of Teaching Songs by Ear and Its Effects on the Development of Students' Vocal Abilities. Croatian Journal of Education, Faculty of Teacher Education, Sp.Ed. 22, pp. 151–166. Zagreb ISSN: 1848-5197</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47.</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Velhner, M., Todorović, D., Grego, E., Cerar Kišek, T., Ljubojević, D., Cvitković Špik, V., Pajić, M., &amp; Kozoderović, G. (2020). Characterisation of multidrug resistant Escherichia coli from poultry litter and poultry carrying virulence genes for evaluation of poultry farm management. European Poultry Science, 84.  ISSN 1612-9199; DOI: 10.1399/eps.2020.296</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48.</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pacing w:after="20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Anđić, B., Cvjetićanin, S., Lavicza, Z., Maričić, M., Novović T., &amp; Stešević, D. (2020). Mobile and printed dichotomous keys in constructivist learning of biology in primary school. Research in Science &amp; Technological Education. doi: 10.1080/02635143.2020.1763290</w:t>
            </w:r>
          </w:p>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Stojšić, I., Ivkov-Džigurski, A., Maričić, O., Stanisavljević, J., Milanković Jovanov, J., &amp; Višnić, T. (2020). Students' Attitudes toward the Application of Mobile Augmented Reality in Higher Education. Društvena istraživanja, 29(4), 535-554. https://doi.org/10.5559/di.29.4.02</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lastRenderedPageBreak/>
              <w:t>49.</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Golijanin Elez, S. (2019). Semantic typology of fed-back pictures in ontology of "full speech" – the chronotope of "city" as (auto)poetic discourse of the literature of  (post)modernism, Književna smotra,  vol. 51, 191, str. 19–33.  ISSN 0455 - 0463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50.</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Jeremić, B., Pećanac, R., Stanković, E. &amp; Djurdjević, T. (2019, in print). Music Technology Software in Adopting Music Teaching Contents. Croatian Journal of Education, Faculty of Teacher Education, Zagreb ISSN: 1848-5189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51.</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Halaši S., Lepeš J., Đorđić V., Jakšić D., Ihasz F., Papp R., Zrmzević N., Živković-Vuković A.: Relations between motor skills and health-related quality of life at 7-8 years old children, BMC Sport Science, Medicine and Rehabilitation, Vol. 11, No 2, pp 9-10, ISSN 2052-1874.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52.</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Alhadawi H.S., Zolkipli M.F., Ismail S.M., Lambić D. (2019) Designing a pseudorandom bit generator based on LFSRs and a discrete chaotic map, Cryptologia, 43(3) 190-211.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53.</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 xml:space="preserve">Kaljača, S., Dučić, B., &amp; Cvijetić, M. (2019). Participation of children and youth with neurodevelopmental disorders in after-school activities. Disability and Rehabilitation, 41(17), 2036-2048.  </w:t>
            </w:r>
          </w:p>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https://doi.org/10.1080/09638288.2018.1457092</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54.</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Mitrovic Veljkovic, S., Maric, M., Subotic,  M., Dudic, B., Greguš, M. (2019). Family entrepreneurship and personal career preferences as the factors of differences in the development of entrepreneurial potential of students. Sustainability, 11, 5693, 1-23.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55.</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Nikolić, G., Cvijetić, M., Branković, N, Đorđić, D. &amp; Johnstone, Ch. (2019): Not There Yet: Lessons Learned on the Journey to Inclusion in the Republic of Serbia, International Journal of Disability, Development and Education, https://doi.org/10.1080/1034912X.2019.1589429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56.</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Brkić-Jovanović, N., Slavković, S., Beljanski, M., Mihić, I., Lazić, M. (2019). The Family of People with Multiple Sclerosis: The Process of Family Stress Adaptation. Iranian  Red Crescent Medical Journal, 21(1)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57.</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 xml:space="preserve">Šumonja, M. (2019). The Habermas-Streeck debate revisited: Syriza and the illusions of the left Europeanism, </w:t>
            </w:r>
          </w:p>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Capital &amp; Class, Vol 43, Issue 3, 2019, pp. 437–458.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58.</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Maričić, M., Cvjetićanin, S., &amp; Anđić, B. (2019). Teacher-demonstration and student hands-on experiments in teaching integrated sciences. Journal of Baltic Science Education. 5(18), 768-779. doi: 10.33225/jbse/19.18.768.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59.</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Anđić, B., Cvjetićanin, S., Maričić, M., &amp; Stešević, D. (2019). Sensory perception and descriptions of morphological characteristic of vegetative plant organs by the blind: implementation in teaching. Journal of Biological Education. (Article; Early Access). doi: 10.1080/00219266.2019.1687107</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60.</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Anđić, B., Cvjetićanin, S., Maričić, M., &amp; Stešević, D. (2019). The contribution of dichotomous keys to the quality of biological-botanical knowledge of the eight grade students. Journal of Biological Education. 53(3), 310-326. doi: 10.1080/00219266.2018.1469540.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61.</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Cyrl-CS" w:eastAsia="zh-CN"/>
              </w:rPr>
            </w:pPr>
            <w:r w:rsidRPr="00B37402">
              <w:rPr>
                <w:rFonts w:ascii="Times New Roman" w:eastAsia="Calibri" w:hAnsi="Times New Roman" w:cs="Times New Roman"/>
                <w:lang w:val="sr-Cyrl-CS" w:eastAsia="zh-CN"/>
              </w:rPr>
              <w:t>Anđić, B., Cvjetićanin, S., Hayhoe, S., Grujičić, R., &amp; Stešević, D. (2019). Dichotomous Keys in the Botanical Learning of Non-Visual (Blind) People. Journal of Baltic Science Education, 18(5), 668-680. doi: 10.33225/jbse/19.18.668.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eastAsia="zh-CN"/>
              </w:rPr>
            </w:pPr>
            <w:r w:rsidRPr="00B37402">
              <w:rPr>
                <w:rFonts w:ascii="Times New Roman" w:eastAsia="Calibri" w:hAnsi="Times New Roman" w:cs="Times New Roman"/>
                <w:lang w:eastAsia="zh-CN"/>
              </w:rPr>
              <w:lastRenderedPageBreak/>
              <w:t xml:space="preserve">62. </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 xml:space="preserve">Sadžakov. S, i Mlađenović, M. (2020), Nacizam i umetnost. </w:t>
            </w:r>
            <w:r w:rsidRPr="00B37402">
              <w:rPr>
                <w:rFonts w:ascii="Times New Roman" w:eastAsia="Calibri" w:hAnsi="Times New Roman" w:cs="Times New Roman"/>
                <w:i/>
                <w:iCs/>
                <w:lang w:val="sr-Latn-RS" w:eastAsia="zh-CN"/>
              </w:rPr>
              <w:t>Filozofska istraživanja</w:t>
            </w:r>
            <w:r w:rsidRPr="00B37402">
              <w:rPr>
                <w:rFonts w:ascii="Times New Roman" w:eastAsia="Calibri" w:hAnsi="Times New Roman" w:cs="Times New Roman"/>
                <w:lang w:val="sr-Latn-RS" w:eastAsia="zh-CN"/>
              </w:rPr>
              <w:t>. Vol. 39, No. 4, str. 811-825. https://doi.org/10.21464/fi39405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M23</w:t>
            </w:r>
          </w:p>
        </w:tc>
      </w:tr>
      <w:tr w:rsidR="0065272C" w:rsidRPr="00B37402" w:rsidTr="00F04070">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rPr>
                <w:rFonts w:eastAsia="Times New Roman"/>
                <w:bCs/>
                <w:sz w:val="20"/>
                <w:szCs w:val="20"/>
                <w:lang w:val="sr-Cyrl-RS"/>
              </w:rPr>
            </w:pPr>
            <w:r>
              <w:rPr>
                <w:bCs/>
                <w:sz w:val="20"/>
                <w:szCs w:val="20"/>
                <w:lang w:val="sr-Cyrl-RS"/>
              </w:rPr>
              <w:t>Марковић, С. и Вучковић, Ж. (2021). Продор националсоцијализма. Немци Краљевине Југославије 1941. године. Социолошки преглед, 55(3), стр. 1165-1182. DOI: 10.5937/socpreg55-32323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b/>
                <w:color w:val="000000"/>
                <w:sz w:val="20"/>
                <w:szCs w:val="20"/>
                <w:lang w:val="sr-Latn-RS"/>
              </w:rPr>
            </w:pPr>
            <w:r>
              <w:rPr>
                <w:b/>
                <w:color w:val="000000"/>
                <w:sz w:val="20"/>
                <w:szCs w:val="20"/>
                <w:lang w:val="sr-Latn-RS"/>
              </w:rPr>
              <w:t>M24</w:t>
            </w:r>
          </w:p>
        </w:tc>
      </w:tr>
      <w:tr w:rsidR="0065272C" w:rsidRPr="00B37402" w:rsidTr="00F04070">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rPr>
                <w:bCs/>
                <w:sz w:val="20"/>
                <w:szCs w:val="20"/>
                <w:lang w:val="sr-Cyrl-RS"/>
              </w:rPr>
            </w:pPr>
            <w:r>
              <w:rPr>
                <w:bCs/>
                <w:sz w:val="20"/>
                <w:szCs w:val="20"/>
                <w:lang w:val="sr-Cyrl-RS"/>
              </w:rPr>
              <w:t>Petrovic, D., Maric, M., Bogosavljevic-Sijakov, M. (2021). Pilot Study on the Improvement of the Health-education and Psychological Competencies of Education Students in the Context of Epidemic/Pandemic Circumstances; Education and Self Development. 16(3), pp. 44-51,  DOI:10.26907/esd.16.3.05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b/>
                <w:color w:val="000000"/>
                <w:sz w:val="20"/>
                <w:szCs w:val="20"/>
                <w:lang w:val="sr-Latn-RS"/>
              </w:rPr>
            </w:pPr>
            <w:r>
              <w:rPr>
                <w:b/>
                <w:color w:val="000000"/>
                <w:sz w:val="20"/>
                <w:szCs w:val="20"/>
                <w:lang w:val="sr-Latn-RS"/>
              </w:rPr>
              <w:t>M24</w:t>
            </w:r>
          </w:p>
        </w:tc>
      </w:tr>
      <w:tr w:rsidR="0065272C" w:rsidRPr="00B37402" w:rsidTr="00F04070">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rPr>
                <w:bCs/>
                <w:sz w:val="20"/>
                <w:szCs w:val="20"/>
                <w:lang w:val="sr-Cyrl-RS"/>
              </w:rPr>
            </w:pPr>
            <w:r>
              <w:rPr>
                <w:bCs/>
                <w:sz w:val="20"/>
                <w:szCs w:val="20"/>
                <w:lang w:val="sr-Cyrl-RS"/>
              </w:rPr>
              <w:t>Cvjetićanin, S. i Maričić, M. (2021). Doprinos primene direktne u odnosu na indirektnu hands-on instrukciju na postignuća učenika u početnom obrazovanju u prirodnim naukama. Inovacije u nastavi (u štampi).</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color w:val="000000"/>
                <w:sz w:val="20"/>
                <w:szCs w:val="20"/>
                <w:lang w:val="sr-Latn-RS"/>
              </w:rPr>
            </w:pPr>
            <w:r>
              <w:rPr>
                <w:color w:val="000000"/>
                <w:sz w:val="20"/>
                <w:szCs w:val="20"/>
                <w:lang w:val="sr-Latn-RS"/>
              </w:rPr>
              <w:t>M24</w:t>
            </w:r>
          </w:p>
        </w:tc>
      </w:tr>
      <w:tr w:rsidR="0065272C" w:rsidRPr="00B37402" w:rsidTr="00F04070">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rPr>
                <w:bCs/>
                <w:sz w:val="20"/>
                <w:szCs w:val="20"/>
                <w:lang w:val="sr-Cyrl-RS"/>
              </w:rPr>
            </w:pPr>
            <w:r>
              <w:rPr>
                <w:bCs/>
                <w:sz w:val="20"/>
                <w:szCs w:val="20"/>
                <w:lang w:val="sr-Cyrl-RS"/>
              </w:rPr>
              <w:t>Đorđić, D., Cvijetić, M. i Damjanović, R. (2021). Iskustva učitelja i nastavnika tokom realizacije nastave na daljinu usled pandemije virusa korona (COVID-19). Inovacije u nastavi, 34(2), 86-103.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color w:val="000000"/>
                <w:sz w:val="20"/>
                <w:szCs w:val="20"/>
                <w:lang w:val="sr-Latn-RS"/>
              </w:rPr>
            </w:pPr>
            <w:r>
              <w:rPr>
                <w:color w:val="000000"/>
                <w:sz w:val="20"/>
                <w:szCs w:val="20"/>
                <w:lang w:val="sr-Latn-RS"/>
              </w:rPr>
              <w:t>M24</w:t>
            </w:r>
          </w:p>
        </w:tc>
      </w:tr>
      <w:tr w:rsidR="0065272C" w:rsidRPr="00B37402" w:rsidTr="00F04070">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rPr>
                <w:bCs/>
                <w:sz w:val="20"/>
                <w:szCs w:val="20"/>
                <w:lang w:val="sr-Cyrl-RS"/>
              </w:rPr>
            </w:pPr>
            <w:r>
              <w:rPr>
                <w:bCs/>
                <w:sz w:val="20"/>
                <w:szCs w:val="20"/>
                <w:lang w:val="sr-Cyrl-RS"/>
              </w:rPr>
              <w:t>Mićanović Cvejić, Ž., Šimonji Černak, R. (2021). Izazovi bračnog života: faktori opadanja bračnog odnosa. Zbornik matice srpske za društvene nauke, 177(1/2021), 109-123.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color w:val="000000"/>
                <w:sz w:val="20"/>
                <w:szCs w:val="20"/>
                <w:lang w:val="sr-Latn-RS"/>
              </w:rPr>
            </w:pPr>
            <w:r>
              <w:rPr>
                <w:color w:val="000000"/>
                <w:sz w:val="20"/>
                <w:szCs w:val="20"/>
                <w:lang w:val="sr-Latn-RS"/>
              </w:rPr>
              <w:t>M24</w:t>
            </w:r>
          </w:p>
        </w:tc>
      </w:tr>
      <w:tr w:rsidR="0065272C" w:rsidRPr="00B37402" w:rsidTr="00F04070">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rPr>
                <w:bCs/>
                <w:sz w:val="20"/>
                <w:szCs w:val="20"/>
                <w:lang w:val="sr-Cyrl-RS"/>
              </w:rPr>
            </w:pPr>
            <w:r>
              <w:rPr>
                <w:bCs/>
                <w:sz w:val="20"/>
                <w:szCs w:val="20"/>
                <w:lang w:val="sr-Cyrl-RS"/>
              </w:rPr>
              <w:t>Raičević Bajić, D., Nikolić,G., Gordić, M., Mouvet, K.,Van Herreweghe, M., (2021) Language attitudes towards Serbian Sign Language and experiences with deaf education in Serbia. DiGeSt Journal of Diversity and Gender Studies, Volume 8, Issue 1 Print ISSN: 2593-0273. Online ISSN: 2593-0281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color w:val="000000"/>
                <w:sz w:val="20"/>
                <w:szCs w:val="20"/>
                <w:lang w:val="sr-Latn-RS"/>
              </w:rPr>
            </w:pPr>
            <w:r>
              <w:rPr>
                <w:color w:val="000000"/>
                <w:sz w:val="20"/>
                <w:szCs w:val="20"/>
                <w:lang w:val="sr-Latn-RS"/>
              </w:rPr>
              <w:t>M24</w:t>
            </w:r>
          </w:p>
        </w:tc>
      </w:tr>
      <w:tr w:rsidR="0065272C" w:rsidRPr="00B37402" w:rsidTr="00977C38">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jc w:val="both"/>
              <w:rPr>
                <w:rFonts w:eastAsia="Times New Roman"/>
                <w:b/>
                <w:color w:val="000000"/>
                <w:lang w:val="sr-Cyrl-RS"/>
              </w:rPr>
            </w:pPr>
            <w:bookmarkStart w:id="0" w:name="_Hlk59226766"/>
            <w:proofErr w:type="spellStart"/>
            <w:r>
              <w:t>Milenovi</w:t>
            </w:r>
            <w:proofErr w:type="spellEnd"/>
            <w:r>
              <w:rPr>
                <w:lang w:val="sr-Cyrl-RS"/>
              </w:rPr>
              <w:t xml:space="preserve">ć, </w:t>
            </w:r>
            <w:proofErr w:type="gramStart"/>
            <w:r>
              <w:rPr>
                <w:lang w:val="sr-Cyrl-RS"/>
              </w:rPr>
              <w:t>Ž.,</w:t>
            </w:r>
            <w:proofErr w:type="gramEnd"/>
            <w:r>
              <w:rPr>
                <w:lang w:val="sr-Cyrl-RS"/>
              </w:rPr>
              <w:t xml:space="preserve"> </w:t>
            </w:r>
            <w:proofErr w:type="spellStart"/>
            <w:r>
              <w:t>Jeremi</w:t>
            </w:r>
            <w:proofErr w:type="spellEnd"/>
            <w:r>
              <w:rPr>
                <w:lang w:val="sr-Cyrl-RS"/>
              </w:rPr>
              <w:t xml:space="preserve">ć, </w:t>
            </w:r>
            <w:r>
              <w:t>B</w:t>
            </w:r>
            <w:r>
              <w:rPr>
                <w:lang w:val="sr-Cyrl-RS"/>
              </w:rPr>
              <w:t xml:space="preserve">. &amp; </w:t>
            </w:r>
            <w:proofErr w:type="spellStart"/>
            <w:r>
              <w:t>Sudzilovski</w:t>
            </w:r>
            <w:proofErr w:type="spellEnd"/>
            <w:r>
              <w:rPr>
                <w:lang w:val="sr-Cyrl-RS"/>
              </w:rPr>
              <w:t xml:space="preserve">, </w:t>
            </w:r>
            <w:r>
              <w:t>D</w:t>
            </w:r>
            <w:r>
              <w:rPr>
                <w:lang w:val="sr-Cyrl-RS"/>
              </w:rPr>
              <w:t xml:space="preserve">. (2020). </w:t>
            </w:r>
            <w:r>
              <w:t xml:space="preserve">Perceptions Of Pre-Service Primary School Teachers Regarding the Application of Interactive Educational Software in Classroom Teaching. </w:t>
            </w:r>
            <w:proofErr w:type="spellStart"/>
            <w:r>
              <w:rPr>
                <w:i/>
                <w:iCs/>
              </w:rPr>
              <w:t>Inovacije</w:t>
            </w:r>
            <w:proofErr w:type="spellEnd"/>
            <w:r>
              <w:rPr>
                <w:i/>
                <w:iCs/>
              </w:rPr>
              <w:t xml:space="preserve"> u </w:t>
            </w:r>
            <w:proofErr w:type="spellStart"/>
            <w:r>
              <w:rPr>
                <w:i/>
                <w:iCs/>
              </w:rPr>
              <w:t>nastavi</w:t>
            </w:r>
            <w:proofErr w:type="spellEnd"/>
            <w:r>
              <w:rPr>
                <w:i/>
                <w:iCs/>
              </w:rPr>
              <w:t xml:space="preserve"> – </w:t>
            </w:r>
            <w:proofErr w:type="spellStart"/>
            <w:r>
              <w:rPr>
                <w:i/>
                <w:iCs/>
              </w:rPr>
              <w:t>časopis</w:t>
            </w:r>
            <w:proofErr w:type="spellEnd"/>
            <w:r>
              <w:rPr>
                <w:i/>
                <w:iCs/>
              </w:rPr>
              <w:t xml:space="preserve"> </w:t>
            </w:r>
            <w:proofErr w:type="spellStart"/>
            <w:r>
              <w:rPr>
                <w:i/>
                <w:iCs/>
              </w:rPr>
              <w:t>za</w:t>
            </w:r>
            <w:proofErr w:type="spellEnd"/>
            <w:r>
              <w:rPr>
                <w:i/>
                <w:iCs/>
              </w:rPr>
              <w:t xml:space="preserve"> </w:t>
            </w:r>
            <w:proofErr w:type="spellStart"/>
            <w:r>
              <w:rPr>
                <w:i/>
                <w:iCs/>
              </w:rPr>
              <w:t>savremenu</w:t>
            </w:r>
            <w:proofErr w:type="spellEnd"/>
            <w:r>
              <w:rPr>
                <w:i/>
                <w:iCs/>
              </w:rPr>
              <w:t xml:space="preserve"> </w:t>
            </w:r>
            <w:proofErr w:type="spellStart"/>
            <w:r>
              <w:rPr>
                <w:i/>
                <w:iCs/>
              </w:rPr>
              <w:t>nastavu</w:t>
            </w:r>
            <w:proofErr w:type="spellEnd"/>
            <w:r>
              <w:rPr>
                <w:i/>
                <w:iCs/>
              </w:rPr>
              <w:t>, 33</w:t>
            </w:r>
            <w:r>
              <w:t xml:space="preserve">(2), 98-110, </w:t>
            </w:r>
            <w:bookmarkEnd w:id="0"/>
            <w:r>
              <w:t>UDK 371.311.1:004(075.2), ISSN 0352-2334 (</w:t>
            </w:r>
            <w:proofErr w:type="spellStart"/>
            <w:r>
              <w:t>štampano</w:t>
            </w:r>
            <w:proofErr w:type="spellEnd"/>
            <w:r>
              <w:t xml:space="preserve"> </w:t>
            </w:r>
            <w:proofErr w:type="spellStart"/>
            <w:r>
              <w:t>izdanje</w:t>
            </w:r>
            <w:proofErr w:type="spellEnd"/>
            <w:r>
              <w:t>), ISSN 2335-0806 (Online).</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b/>
                <w:color w:val="000000"/>
              </w:rPr>
            </w:pPr>
            <w:r>
              <w:rPr>
                <w:b/>
                <w:color w:val="000000"/>
              </w:rPr>
              <w:t>M24</w:t>
            </w:r>
          </w:p>
        </w:tc>
      </w:tr>
      <w:tr w:rsidR="0065272C" w:rsidRPr="00B37402" w:rsidTr="00977C38">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before="100" w:beforeAutospacing="1" w:after="100" w:afterAutospacing="1" w:line="256" w:lineRule="auto"/>
              <w:jc w:val="both"/>
              <w:rPr>
                <w:b/>
                <w:color w:val="000000"/>
                <w:lang w:val="sr-Cyrl-RS"/>
              </w:rPr>
            </w:pPr>
            <w:r>
              <w:rPr>
                <w:lang w:val="sr-Cyrl-RS"/>
              </w:rPr>
              <w:t xml:space="preserve">Лазић-Коњик, И.,  Јелић, Ј. М. (2020). </w:t>
            </w:r>
            <w:r>
              <w:rPr>
                <w:iCs/>
                <w:lang w:val="sr-Cyrl-RS"/>
              </w:rPr>
              <w:t>Лексика српских народних песама у Српском рјечнику и у Речнику српског језика (лексикографски аспект).</w:t>
            </w:r>
            <w:r>
              <w:rPr>
                <w:lang w:val="sr-Cyrl-RS"/>
              </w:rPr>
              <w:t xml:space="preserve"> Српски језик</w:t>
            </w:r>
            <w:r>
              <w:rPr>
                <w:lang w:val="sr-Latn-RS"/>
              </w:rPr>
              <w:t xml:space="preserve">: </w:t>
            </w:r>
            <w:r>
              <w:rPr>
                <w:lang w:val="sr-Cyrl-RS"/>
              </w:rPr>
              <w:t xml:space="preserve">студије српске и словенске, Вол. 25, Но. 1, 255-272.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b/>
                <w:color w:val="000000"/>
                <w:lang w:val="sr-Cyrl-RS"/>
              </w:rPr>
            </w:pPr>
            <w:r>
              <w:rPr>
                <w:b/>
                <w:color w:val="000000"/>
                <w:lang w:val="sr-Cyrl-RS"/>
              </w:rPr>
              <w:t>М24</w:t>
            </w:r>
          </w:p>
        </w:tc>
      </w:tr>
      <w:tr w:rsidR="0065272C" w:rsidRPr="00B37402" w:rsidTr="00977C38">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jc w:val="both"/>
              <w:rPr>
                <w:lang w:val="de-DE"/>
              </w:rPr>
            </w:pPr>
            <w:proofErr w:type="spellStart"/>
            <w:r>
              <w:t>Гојковић</w:t>
            </w:r>
            <w:proofErr w:type="spellEnd"/>
            <w:r>
              <w:rPr>
                <w:lang w:val="sr-Cyrl-RS"/>
              </w:rPr>
              <w:t>, Н.</w:t>
            </w:r>
            <w:r>
              <w:rPr>
                <w:lang w:val="sr-Latn-RS"/>
              </w:rPr>
              <w:t xml:space="preserve"> (2020)</w:t>
            </w:r>
            <w:r>
              <w:rPr>
                <w:lang w:val="sr-Cyrl-RS"/>
              </w:rPr>
              <w:t>.</w:t>
            </w:r>
            <w:r>
              <w:rPr>
                <w:lang w:val="sr-Latn-RS"/>
              </w:rPr>
              <w:t xml:space="preserve"> </w:t>
            </w:r>
            <w:proofErr w:type="spellStart"/>
            <w:r>
              <w:t>Превођење</w:t>
            </w:r>
            <w:proofErr w:type="spellEnd"/>
            <w:r>
              <w:rPr>
                <w:lang w:val="sr-Latn-RS"/>
              </w:rPr>
              <w:t xml:space="preserve"> </w:t>
            </w:r>
            <w:proofErr w:type="spellStart"/>
            <w:r>
              <w:t>архаизама</w:t>
            </w:r>
            <w:proofErr w:type="spellEnd"/>
            <w:r>
              <w:rPr>
                <w:lang w:val="sr-Latn-RS"/>
              </w:rPr>
              <w:t xml:space="preserve"> </w:t>
            </w:r>
            <w:r>
              <w:t>и</w:t>
            </w:r>
            <w:r>
              <w:rPr>
                <w:lang w:val="sr-Latn-RS"/>
              </w:rPr>
              <w:t xml:space="preserve"> </w:t>
            </w:r>
            <w:proofErr w:type="spellStart"/>
            <w:r>
              <w:t>историцизама</w:t>
            </w:r>
            <w:proofErr w:type="spellEnd"/>
            <w:r>
              <w:rPr>
                <w:lang w:val="sr-Latn-RS"/>
              </w:rPr>
              <w:t xml:space="preserve"> </w:t>
            </w:r>
            <w:r>
              <w:t>с</w:t>
            </w:r>
            <w:r>
              <w:rPr>
                <w:lang w:val="sr-Latn-RS"/>
              </w:rPr>
              <w:t xml:space="preserve"> </w:t>
            </w:r>
            <w:proofErr w:type="spellStart"/>
            <w:r>
              <w:t>енглеског</w:t>
            </w:r>
            <w:proofErr w:type="spellEnd"/>
            <w:r>
              <w:rPr>
                <w:lang w:val="sr-Latn-RS"/>
              </w:rPr>
              <w:t xml:space="preserve"> </w:t>
            </w:r>
            <w:proofErr w:type="spellStart"/>
            <w:r>
              <w:t>на</w:t>
            </w:r>
            <w:proofErr w:type="spellEnd"/>
            <w:r>
              <w:rPr>
                <w:lang w:val="sr-Latn-RS"/>
              </w:rPr>
              <w:t xml:space="preserve"> </w:t>
            </w:r>
            <w:proofErr w:type="spellStart"/>
            <w:r>
              <w:t>српски</w:t>
            </w:r>
            <w:proofErr w:type="spellEnd"/>
            <w:r>
              <w:rPr>
                <w:lang w:val="sr-Latn-RS"/>
              </w:rPr>
              <w:t xml:space="preserve"> </w:t>
            </w:r>
            <w:proofErr w:type="spellStart"/>
            <w:r>
              <w:t>језик</w:t>
            </w:r>
            <w:proofErr w:type="spellEnd"/>
            <w:r>
              <w:rPr>
                <w:lang w:val="sr-Latn-RS"/>
              </w:rPr>
              <w:t xml:space="preserve"> </w:t>
            </w:r>
            <w:r>
              <w:t>у</w:t>
            </w:r>
            <w:r>
              <w:rPr>
                <w:lang w:val="sr-Latn-RS"/>
              </w:rPr>
              <w:t xml:space="preserve"> </w:t>
            </w:r>
            <w:proofErr w:type="spellStart"/>
            <w:r>
              <w:t>роману</w:t>
            </w:r>
            <w:proofErr w:type="spellEnd"/>
            <w:r>
              <w:rPr>
                <w:lang w:val="sr-Latn-RS"/>
              </w:rPr>
              <w:t xml:space="preserve"> „</w:t>
            </w:r>
            <w:proofErr w:type="spellStart"/>
            <w:r>
              <w:t>Разум</w:t>
            </w:r>
            <w:proofErr w:type="spellEnd"/>
            <w:r>
              <w:rPr>
                <w:lang w:val="sr-Latn-RS"/>
              </w:rPr>
              <w:t xml:space="preserve"> </w:t>
            </w:r>
            <w:r>
              <w:t>и</w:t>
            </w:r>
            <w:r>
              <w:rPr>
                <w:lang w:val="sr-Latn-RS"/>
              </w:rPr>
              <w:t xml:space="preserve"> </w:t>
            </w:r>
            <w:proofErr w:type="spellStart"/>
            <w:r>
              <w:t>осећајност</w:t>
            </w:r>
            <w:proofErr w:type="spellEnd"/>
            <w:proofErr w:type="gramStart"/>
            <w:r>
              <w:rPr>
                <w:lang w:val="sr-Latn-RS"/>
              </w:rPr>
              <w:t xml:space="preserve">“ </w:t>
            </w:r>
            <w:proofErr w:type="spellStart"/>
            <w:r>
              <w:t>Џејн</w:t>
            </w:r>
            <w:proofErr w:type="spellEnd"/>
            <w:proofErr w:type="gramEnd"/>
            <w:r>
              <w:rPr>
                <w:lang w:val="sr-Latn-RS"/>
              </w:rPr>
              <w:t xml:space="preserve"> </w:t>
            </w:r>
            <w:proofErr w:type="spellStart"/>
            <w:r>
              <w:t>Остин</w:t>
            </w:r>
            <w:proofErr w:type="spellEnd"/>
            <w:r>
              <w:rPr>
                <w:lang w:val="sr-Latn-RS"/>
              </w:rPr>
              <w:t xml:space="preserve">: </w:t>
            </w:r>
            <w:proofErr w:type="spellStart"/>
            <w:r>
              <w:t>критичка</w:t>
            </w:r>
            <w:proofErr w:type="spellEnd"/>
            <w:r>
              <w:rPr>
                <w:lang w:val="sr-Latn-RS"/>
              </w:rPr>
              <w:t xml:space="preserve"> </w:t>
            </w:r>
            <w:proofErr w:type="spellStart"/>
            <w:r>
              <w:t>анализа</w:t>
            </w:r>
            <w:proofErr w:type="spellEnd"/>
            <w:r>
              <w:rPr>
                <w:lang w:val="sr-Cyrl-RS"/>
              </w:rPr>
              <w:t>.</w:t>
            </w:r>
            <w:r>
              <w:rPr>
                <w:lang w:val="sr-Latn-RS"/>
              </w:rPr>
              <w:t xml:space="preserve"> </w:t>
            </w:r>
            <w:proofErr w:type="spellStart"/>
            <w:r>
              <w:t>Зборник</w:t>
            </w:r>
            <w:proofErr w:type="spellEnd"/>
            <w:r>
              <w:rPr>
                <w:lang w:val="sr-Latn-RS"/>
              </w:rPr>
              <w:t xml:space="preserve"> </w:t>
            </w:r>
            <w:proofErr w:type="spellStart"/>
            <w:r>
              <w:t>Матице</w:t>
            </w:r>
            <w:proofErr w:type="spellEnd"/>
            <w:r>
              <w:rPr>
                <w:lang w:val="sr-Latn-RS"/>
              </w:rPr>
              <w:t xml:space="preserve"> </w:t>
            </w:r>
            <w:proofErr w:type="spellStart"/>
            <w:r>
              <w:t>српске</w:t>
            </w:r>
            <w:proofErr w:type="spellEnd"/>
            <w:r>
              <w:rPr>
                <w:lang w:val="sr-Latn-RS"/>
              </w:rPr>
              <w:t xml:space="preserve"> </w:t>
            </w:r>
            <w:proofErr w:type="spellStart"/>
            <w:r>
              <w:t>за</w:t>
            </w:r>
            <w:proofErr w:type="spellEnd"/>
            <w:r>
              <w:rPr>
                <w:lang w:val="sr-Latn-RS"/>
              </w:rPr>
              <w:t xml:space="preserve"> </w:t>
            </w:r>
            <w:proofErr w:type="spellStart"/>
            <w:r>
              <w:t>књижевност</w:t>
            </w:r>
            <w:proofErr w:type="spellEnd"/>
            <w:r>
              <w:rPr>
                <w:lang w:val="sr-Latn-RS"/>
              </w:rPr>
              <w:t xml:space="preserve"> </w:t>
            </w:r>
            <w:r>
              <w:t>и</w:t>
            </w:r>
            <w:r>
              <w:rPr>
                <w:lang w:val="sr-Latn-RS"/>
              </w:rPr>
              <w:t xml:space="preserve"> </w:t>
            </w:r>
            <w:proofErr w:type="spellStart"/>
            <w:r>
              <w:t>језик</w:t>
            </w:r>
            <w:proofErr w:type="spellEnd"/>
            <w:r>
              <w:rPr>
                <w:lang w:val="sr-Latn-RS"/>
              </w:rPr>
              <w:t xml:space="preserve">. </w:t>
            </w:r>
            <w:r>
              <w:rPr>
                <w:lang w:val="de-DE"/>
              </w:rPr>
              <w:t xml:space="preserve">UDC 821.111-31.09 Austin J.https://doi.org/10.18485/ms_zmskij.2020.68.1.8 </w:t>
            </w:r>
          </w:p>
          <w:p w:rsidR="0065272C" w:rsidRDefault="0065272C" w:rsidP="0065272C">
            <w:pPr>
              <w:spacing w:line="256" w:lineRule="auto"/>
              <w:jc w:val="both"/>
              <w:rPr>
                <w:b/>
                <w:color w:val="000000"/>
                <w:lang w:val="sr-Cyrl-RS"/>
              </w:rPr>
            </w:pPr>
            <w:hyperlink r:id="rId5" w:history="1">
              <w:r>
                <w:rPr>
                  <w:rStyle w:val="Hyperlink"/>
                  <w:color w:val="0000FF"/>
                  <w:lang w:val="de-DE"/>
                </w:rPr>
                <w:t>https://doi.org/10.18485/ms_zmskij.2020.68.1.8</w:t>
              </w:r>
            </w:hyperlink>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b/>
                <w:color w:val="000000"/>
                <w:lang w:val="de-DE"/>
              </w:rPr>
            </w:pPr>
          </w:p>
          <w:p w:rsidR="0065272C" w:rsidRDefault="0065272C" w:rsidP="0065272C">
            <w:pPr>
              <w:spacing w:line="256" w:lineRule="auto"/>
              <w:rPr>
                <w:b/>
                <w:color w:val="000000"/>
                <w:lang w:val="sr-Cyrl-RS"/>
              </w:rPr>
            </w:pPr>
            <w:r>
              <w:rPr>
                <w:b/>
                <w:color w:val="000000"/>
                <w:lang w:val="sr-Cyrl-RS"/>
              </w:rPr>
              <w:t>М 24</w:t>
            </w:r>
          </w:p>
        </w:tc>
      </w:tr>
      <w:tr w:rsidR="0065272C" w:rsidRPr="00B37402" w:rsidTr="00977C38">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rPr>
                <w:color w:val="000000"/>
                <w:lang w:val="sr-Cyrl-RS"/>
              </w:rPr>
            </w:pPr>
            <w:r>
              <w:rPr>
                <w:color w:val="000000"/>
                <w:lang w:val="sr-Cyrl-RS"/>
              </w:rPr>
              <w:t xml:space="preserve">Maričić, M., S. &amp; Lazić, D., B. (2020). Abacus computing tool-from history to application in mathematical education, </w:t>
            </w:r>
            <w:r>
              <w:rPr>
                <w:i/>
                <w:color w:val="000000"/>
                <w:lang w:val="sr-Cyrl-RS"/>
              </w:rPr>
              <w:t>Teaching Innovations</w:t>
            </w:r>
            <w:r>
              <w:rPr>
                <w:color w:val="000000"/>
                <w:lang w:val="sr-Cyrl-RS"/>
              </w:rPr>
              <w:t xml:space="preserve"> No 1, vol. 3. Beograd: Učiteljski fakultet, str. 57-71. [ISSN 0352-2334; UDC 51(091):371.3 doi: 10.5937/inovacije2001057M]</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b/>
                <w:color w:val="000000"/>
              </w:rPr>
            </w:pPr>
            <w:r>
              <w:rPr>
                <w:b/>
                <w:color w:val="000000"/>
              </w:rPr>
              <w:t>M24</w:t>
            </w:r>
          </w:p>
        </w:tc>
      </w:tr>
      <w:tr w:rsidR="0065272C" w:rsidRPr="00B37402" w:rsidTr="00977C38">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autoSpaceDE w:val="0"/>
              <w:autoSpaceDN w:val="0"/>
              <w:adjustRightInd w:val="0"/>
              <w:spacing w:line="256" w:lineRule="auto"/>
              <w:rPr>
                <w:b/>
                <w:sz w:val="24"/>
                <w:szCs w:val="24"/>
              </w:rPr>
            </w:pPr>
            <w:r>
              <w:rPr>
                <w:lang w:val="sr-Latn-RS"/>
              </w:rPr>
              <w:t xml:space="preserve">Rodić-Lukić, V., </w:t>
            </w:r>
            <w:r>
              <w:rPr>
                <w:bCs/>
                <w:lang w:val="sr-Latn-RS"/>
              </w:rPr>
              <w:t>Marić, M.,</w:t>
            </w:r>
            <w:r>
              <w:rPr>
                <w:lang w:val="sr-Latn-RS"/>
              </w:rPr>
              <w:t xml:space="preserve"> Štrangarić, S. (2020). </w:t>
            </w:r>
            <w:r>
              <w:t xml:space="preserve">Relational impact of cultural capital and the perception of self-efficacy on educational achievement. </w:t>
            </w:r>
            <w:proofErr w:type="spellStart"/>
            <w:r>
              <w:rPr>
                <w:i/>
                <w:iCs/>
              </w:rPr>
              <w:t>Teme</w:t>
            </w:r>
            <w:proofErr w:type="spellEnd"/>
            <w:r>
              <w:rPr>
                <w:i/>
                <w:iCs/>
              </w:rPr>
              <w:t xml:space="preserve"> </w:t>
            </w:r>
            <w:r>
              <w:t>(in press).</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b/>
                <w:color w:val="000000"/>
              </w:rPr>
            </w:pPr>
            <w:r>
              <w:rPr>
                <w:b/>
              </w:rPr>
              <w:t>М24</w:t>
            </w:r>
          </w:p>
        </w:tc>
      </w:tr>
      <w:tr w:rsidR="0065272C" w:rsidRPr="00B37402" w:rsidTr="00977C38">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hd w:val="clear" w:color="auto" w:fill="FFFFFF"/>
              <w:spacing w:line="256" w:lineRule="auto"/>
              <w:rPr>
                <w:lang w:eastAsia="en-GB"/>
              </w:rPr>
            </w:pPr>
            <w:r>
              <w:rPr>
                <w:lang w:val="sr-Latn-RS" w:eastAsia="en-GB"/>
              </w:rPr>
              <w:t xml:space="preserve">Bajić, M., Kozoderović, G., Marić, M. (2020). </w:t>
            </w:r>
            <w:r>
              <w:rPr>
                <w:color w:val="000000"/>
                <w:shd w:val="clear" w:color="auto" w:fill="FFFFFF"/>
                <w:lang w:val="sr-Latn-RS"/>
              </w:rPr>
              <w:t>Stavovi učitelja o primeni ambijentalne nastave u početnom ekološkom obrazovanju.</w:t>
            </w:r>
            <w:r>
              <w:rPr>
                <w:rFonts w:ascii="Candara" w:hAnsi="Candara"/>
                <w:color w:val="000000"/>
                <w:shd w:val="clear" w:color="auto" w:fill="FFFFFF"/>
                <w:lang w:val="sr-Latn-RS"/>
              </w:rPr>
              <w:t xml:space="preserve"> </w:t>
            </w:r>
            <w:proofErr w:type="spellStart"/>
            <w:r>
              <w:rPr>
                <w:i/>
                <w:lang w:eastAsia="en-GB"/>
              </w:rPr>
              <w:t>Zbornik</w:t>
            </w:r>
            <w:proofErr w:type="spellEnd"/>
            <w:r>
              <w:rPr>
                <w:i/>
                <w:lang w:eastAsia="en-GB"/>
              </w:rPr>
              <w:t xml:space="preserve"> </w:t>
            </w:r>
            <w:proofErr w:type="spellStart"/>
            <w:r>
              <w:rPr>
                <w:i/>
                <w:lang w:eastAsia="en-GB"/>
              </w:rPr>
              <w:t>radova</w:t>
            </w:r>
            <w:proofErr w:type="spellEnd"/>
            <w:r>
              <w:rPr>
                <w:i/>
                <w:lang w:eastAsia="en-GB"/>
              </w:rPr>
              <w:t xml:space="preserve"> </w:t>
            </w:r>
            <w:proofErr w:type="spellStart"/>
            <w:r>
              <w:rPr>
                <w:i/>
                <w:lang w:eastAsia="en-GB"/>
              </w:rPr>
              <w:t>Filozofskog</w:t>
            </w:r>
            <w:proofErr w:type="spellEnd"/>
            <w:r>
              <w:rPr>
                <w:i/>
                <w:lang w:eastAsia="en-GB"/>
              </w:rPr>
              <w:t xml:space="preserve"> </w:t>
            </w:r>
            <w:proofErr w:type="spellStart"/>
            <w:r>
              <w:rPr>
                <w:i/>
                <w:lang w:eastAsia="en-GB"/>
              </w:rPr>
              <w:t>fakulteta</w:t>
            </w:r>
            <w:proofErr w:type="spellEnd"/>
            <w:r>
              <w:rPr>
                <w:i/>
                <w:lang w:eastAsia="en-GB"/>
              </w:rPr>
              <w:t xml:space="preserve"> u </w:t>
            </w:r>
            <w:proofErr w:type="spellStart"/>
            <w:r>
              <w:rPr>
                <w:i/>
                <w:lang w:eastAsia="en-GB"/>
              </w:rPr>
              <w:t>Prištini</w:t>
            </w:r>
            <w:proofErr w:type="spellEnd"/>
            <w:r>
              <w:rPr>
                <w:i/>
                <w:lang w:eastAsia="en-GB"/>
              </w:rPr>
              <w:t>, 50</w:t>
            </w:r>
            <w:r>
              <w:rPr>
                <w:lang w:eastAsia="en-GB"/>
              </w:rPr>
              <w:t>(4), 315-‌333.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b/>
                <w:color w:val="000000"/>
              </w:rPr>
            </w:pPr>
            <w:r>
              <w:rPr>
                <w:b/>
                <w:lang w:eastAsia="en-GB"/>
              </w:rPr>
              <w:t>M24</w:t>
            </w:r>
          </w:p>
        </w:tc>
      </w:tr>
      <w:tr w:rsidR="0065272C" w:rsidRPr="00B37402" w:rsidTr="00977C38">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rPr>
                <w:color w:val="000000"/>
              </w:rPr>
            </w:pPr>
            <w:proofErr w:type="spellStart"/>
            <w:r>
              <w:rPr>
                <w:color w:val="000000"/>
              </w:rPr>
              <w:t>Антоловић</w:t>
            </w:r>
            <w:proofErr w:type="spellEnd"/>
            <w:proofErr w:type="gramStart"/>
            <w:r>
              <w:rPr>
                <w:color w:val="000000"/>
                <w:lang w:val="sr-Latn-RS"/>
              </w:rPr>
              <w:t xml:space="preserve">,  </w:t>
            </w:r>
            <w:r>
              <w:rPr>
                <w:color w:val="000000"/>
              </w:rPr>
              <w:t>М</w:t>
            </w:r>
            <w:proofErr w:type="gramEnd"/>
            <w:r>
              <w:rPr>
                <w:color w:val="000000"/>
                <w:lang w:val="sr-Latn-RS"/>
              </w:rPr>
              <w:t xml:space="preserve">. (2020). </w:t>
            </w:r>
            <w:proofErr w:type="spellStart"/>
            <w:r>
              <w:rPr>
                <w:color w:val="000000"/>
              </w:rPr>
              <w:t>Друштвена</w:t>
            </w:r>
            <w:proofErr w:type="spellEnd"/>
            <w:r>
              <w:rPr>
                <w:color w:val="000000"/>
                <w:lang w:val="sr-Latn-RS"/>
              </w:rPr>
              <w:t xml:space="preserve"> </w:t>
            </w:r>
            <w:proofErr w:type="spellStart"/>
            <w:r>
              <w:rPr>
                <w:color w:val="000000"/>
              </w:rPr>
              <w:t>историја</w:t>
            </w:r>
            <w:proofErr w:type="spellEnd"/>
            <w:r>
              <w:rPr>
                <w:color w:val="000000"/>
                <w:lang w:val="sr-Latn-RS"/>
              </w:rPr>
              <w:t xml:space="preserve"> </w:t>
            </w:r>
            <w:proofErr w:type="spellStart"/>
            <w:r>
              <w:rPr>
                <w:color w:val="000000"/>
              </w:rPr>
              <w:t>на</w:t>
            </w:r>
            <w:proofErr w:type="spellEnd"/>
            <w:r>
              <w:rPr>
                <w:color w:val="000000"/>
                <w:lang w:val="sr-Latn-RS"/>
              </w:rPr>
              <w:t xml:space="preserve"> </w:t>
            </w:r>
            <w:proofErr w:type="spellStart"/>
            <w:r>
              <w:rPr>
                <w:color w:val="000000"/>
              </w:rPr>
              <w:t>немачки</w:t>
            </w:r>
            <w:proofErr w:type="spellEnd"/>
            <w:r>
              <w:rPr>
                <w:color w:val="000000"/>
                <w:lang w:val="sr-Latn-RS"/>
              </w:rPr>
              <w:t xml:space="preserve"> </w:t>
            </w:r>
            <w:proofErr w:type="spellStart"/>
            <w:r>
              <w:rPr>
                <w:color w:val="000000"/>
              </w:rPr>
              <w:t>начин</w:t>
            </w:r>
            <w:proofErr w:type="spellEnd"/>
            <w:r>
              <w:rPr>
                <w:color w:val="000000"/>
                <w:lang w:val="sr-Latn-RS"/>
              </w:rPr>
              <w:t xml:space="preserve"> – </w:t>
            </w:r>
            <w:proofErr w:type="spellStart"/>
            <w:r>
              <w:rPr>
                <w:color w:val="000000"/>
              </w:rPr>
              <w:t>Ханс</w:t>
            </w:r>
            <w:proofErr w:type="spellEnd"/>
            <w:r>
              <w:rPr>
                <w:color w:val="000000"/>
                <w:lang w:val="sr-Latn-RS"/>
              </w:rPr>
              <w:t>-</w:t>
            </w:r>
            <w:proofErr w:type="spellStart"/>
            <w:r>
              <w:rPr>
                <w:color w:val="000000"/>
              </w:rPr>
              <w:t>Улрих</w:t>
            </w:r>
            <w:proofErr w:type="spellEnd"/>
            <w:r>
              <w:rPr>
                <w:color w:val="000000"/>
                <w:lang w:val="sr-Latn-RS"/>
              </w:rPr>
              <w:t xml:space="preserve"> </w:t>
            </w:r>
            <w:proofErr w:type="spellStart"/>
            <w:r>
              <w:rPr>
                <w:color w:val="000000"/>
              </w:rPr>
              <w:t>Велер</w:t>
            </w:r>
            <w:proofErr w:type="spellEnd"/>
            <w:r>
              <w:rPr>
                <w:color w:val="000000"/>
                <w:lang w:val="sr-Latn-RS"/>
              </w:rPr>
              <w:t xml:space="preserve"> </w:t>
            </w:r>
            <w:r>
              <w:rPr>
                <w:color w:val="000000"/>
              </w:rPr>
              <w:t>и</w:t>
            </w:r>
            <w:r>
              <w:rPr>
                <w:color w:val="000000"/>
                <w:lang w:val="sr-Latn-RS"/>
              </w:rPr>
              <w:t xml:space="preserve"> </w:t>
            </w:r>
            <w:proofErr w:type="spellStart"/>
            <w:r>
              <w:rPr>
                <w:color w:val="000000"/>
              </w:rPr>
              <w:t>историјска</w:t>
            </w:r>
            <w:proofErr w:type="spellEnd"/>
            <w:r>
              <w:rPr>
                <w:color w:val="000000"/>
                <w:lang w:val="sr-Latn-RS"/>
              </w:rPr>
              <w:t xml:space="preserve"> </w:t>
            </w:r>
            <w:proofErr w:type="spellStart"/>
            <w:r>
              <w:rPr>
                <w:color w:val="000000"/>
              </w:rPr>
              <w:t>социјална</w:t>
            </w:r>
            <w:proofErr w:type="spellEnd"/>
            <w:r>
              <w:rPr>
                <w:color w:val="000000"/>
                <w:lang w:val="sr-Latn-RS"/>
              </w:rPr>
              <w:t xml:space="preserve"> </w:t>
            </w:r>
            <w:proofErr w:type="spellStart"/>
            <w:r>
              <w:rPr>
                <w:color w:val="000000"/>
              </w:rPr>
              <w:t>наука</w:t>
            </w:r>
            <w:proofErr w:type="spellEnd"/>
            <w:r>
              <w:rPr>
                <w:color w:val="000000"/>
                <w:lang w:val="sr-Latn-RS"/>
              </w:rPr>
              <w:t xml:space="preserve">, </w:t>
            </w:r>
            <w:proofErr w:type="spellStart"/>
            <w:r>
              <w:rPr>
                <w:i/>
                <w:color w:val="000000"/>
              </w:rPr>
              <w:t>Токови</w:t>
            </w:r>
            <w:proofErr w:type="spellEnd"/>
            <w:r>
              <w:rPr>
                <w:i/>
                <w:color w:val="000000"/>
                <w:lang w:val="sr-Latn-RS"/>
              </w:rPr>
              <w:t xml:space="preserve"> </w:t>
            </w:r>
            <w:proofErr w:type="spellStart"/>
            <w:r>
              <w:rPr>
                <w:i/>
                <w:color w:val="000000"/>
              </w:rPr>
              <w:t>историје</w:t>
            </w:r>
            <w:proofErr w:type="spellEnd"/>
            <w:r>
              <w:rPr>
                <w:color w:val="000000"/>
                <w:lang w:val="sr-Latn-RS"/>
              </w:rPr>
              <w:t xml:space="preserve">, 1, 221–242.  </w:t>
            </w:r>
            <w:r>
              <w:rPr>
                <w:color w:val="000000"/>
              </w:rPr>
              <w:t xml:space="preserve">DOI: </w:t>
            </w:r>
            <w:hyperlink r:id="rId6" w:history="1">
              <w:r>
                <w:rPr>
                  <w:rStyle w:val="Hyperlink"/>
                  <w:color w:val="0000FF"/>
                </w:rPr>
                <w:t>https://doi.org//10.31212/tokovi.2020.1.ant.221-242</w:t>
              </w:r>
            </w:hyperlink>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b/>
                <w:color w:val="000000"/>
              </w:rPr>
            </w:pPr>
            <w:r>
              <w:rPr>
                <w:b/>
                <w:color w:val="000000"/>
              </w:rPr>
              <w:t>M24</w:t>
            </w:r>
          </w:p>
        </w:tc>
      </w:tr>
      <w:tr w:rsidR="0065272C" w:rsidRPr="00B37402" w:rsidTr="00977C38">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rPr>
                <w:color w:val="000000"/>
              </w:rPr>
            </w:pPr>
            <w:proofErr w:type="spellStart"/>
            <w:r>
              <w:rPr>
                <w:color w:val="000000"/>
              </w:rPr>
              <w:t>Ђорђић</w:t>
            </w:r>
            <w:proofErr w:type="spellEnd"/>
            <w:r>
              <w:rPr>
                <w:color w:val="000000"/>
                <w:lang w:val="sr-Latn-RS"/>
              </w:rPr>
              <w:t xml:space="preserve">, </w:t>
            </w:r>
            <w:r>
              <w:rPr>
                <w:color w:val="000000"/>
              </w:rPr>
              <w:t>Д</w:t>
            </w:r>
            <w:r>
              <w:rPr>
                <w:color w:val="000000"/>
                <w:lang w:val="sr-Latn-RS"/>
              </w:rPr>
              <w:t xml:space="preserve">. (2020). </w:t>
            </w:r>
            <w:proofErr w:type="spellStart"/>
            <w:r>
              <w:rPr>
                <w:color w:val="000000"/>
              </w:rPr>
              <w:t>Однос</w:t>
            </w:r>
            <w:proofErr w:type="spellEnd"/>
            <w:r>
              <w:rPr>
                <w:color w:val="000000"/>
                <w:lang w:val="sr-Latn-RS"/>
              </w:rPr>
              <w:t xml:space="preserve"> </w:t>
            </w:r>
            <w:proofErr w:type="spellStart"/>
            <w:r>
              <w:rPr>
                <w:color w:val="000000"/>
              </w:rPr>
              <w:t>школске</w:t>
            </w:r>
            <w:proofErr w:type="spellEnd"/>
            <w:r>
              <w:rPr>
                <w:color w:val="000000"/>
                <w:lang w:val="sr-Latn-RS"/>
              </w:rPr>
              <w:t xml:space="preserve"> </w:t>
            </w:r>
            <w:proofErr w:type="spellStart"/>
            <w:r>
              <w:rPr>
                <w:color w:val="000000"/>
              </w:rPr>
              <w:t>климе</w:t>
            </w:r>
            <w:proofErr w:type="spellEnd"/>
            <w:r>
              <w:rPr>
                <w:color w:val="000000"/>
                <w:lang w:val="sr-Latn-RS"/>
              </w:rPr>
              <w:t xml:space="preserve"> </w:t>
            </w:r>
            <w:r>
              <w:rPr>
                <w:color w:val="000000"/>
              </w:rPr>
              <w:t>и</w:t>
            </w:r>
            <w:r>
              <w:rPr>
                <w:color w:val="000000"/>
                <w:lang w:val="sr-Latn-RS"/>
              </w:rPr>
              <w:t xml:space="preserve"> </w:t>
            </w:r>
            <w:proofErr w:type="spellStart"/>
            <w:r>
              <w:rPr>
                <w:color w:val="000000"/>
              </w:rPr>
              <w:t>ангажовања</w:t>
            </w:r>
            <w:proofErr w:type="spellEnd"/>
            <w:r>
              <w:rPr>
                <w:color w:val="000000"/>
                <w:lang w:val="sr-Latn-RS"/>
              </w:rPr>
              <w:t xml:space="preserve"> </w:t>
            </w:r>
            <w:proofErr w:type="spellStart"/>
            <w:r>
              <w:rPr>
                <w:color w:val="000000"/>
              </w:rPr>
              <w:t>ученика</w:t>
            </w:r>
            <w:proofErr w:type="spellEnd"/>
            <w:r>
              <w:rPr>
                <w:color w:val="000000"/>
                <w:lang w:val="sr-Latn-RS"/>
              </w:rPr>
              <w:t xml:space="preserve"> </w:t>
            </w:r>
            <w:r>
              <w:rPr>
                <w:color w:val="000000"/>
              </w:rPr>
              <w:t>у</w:t>
            </w:r>
            <w:r>
              <w:rPr>
                <w:color w:val="000000"/>
                <w:lang w:val="sr-Latn-RS"/>
              </w:rPr>
              <w:t xml:space="preserve"> </w:t>
            </w:r>
            <w:proofErr w:type="spellStart"/>
            <w:r>
              <w:rPr>
                <w:color w:val="000000"/>
              </w:rPr>
              <w:t>школи</w:t>
            </w:r>
            <w:proofErr w:type="spellEnd"/>
            <w:r>
              <w:rPr>
                <w:color w:val="000000"/>
                <w:lang w:val="sr-Latn-RS"/>
              </w:rPr>
              <w:t xml:space="preserve">. </w:t>
            </w:r>
            <w:proofErr w:type="spellStart"/>
            <w:r>
              <w:rPr>
                <w:i/>
                <w:color w:val="000000"/>
              </w:rPr>
              <w:t>Зборник</w:t>
            </w:r>
            <w:proofErr w:type="spellEnd"/>
            <w:r>
              <w:rPr>
                <w:i/>
                <w:color w:val="000000"/>
              </w:rPr>
              <w:t xml:space="preserve"> </w:t>
            </w:r>
            <w:proofErr w:type="spellStart"/>
            <w:r>
              <w:rPr>
                <w:i/>
                <w:color w:val="000000"/>
              </w:rPr>
              <w:t>Института</w:t>
            </w:r>
            <w:proofErr w:type="spellEnd"/>
            <w:r>
              <w:rPr>
                <w:i/>
                <w:color w:val="000000"/>
              </w:rPr>
              <w:t xml:space="preserve"> </w:t>
            </w:r>
            <w:proofErr w:type="spellStart"/>
            <w:r>
              <w:rPr>
                <w:i/>
                <w:color w:val="000000"/>
              </w:rPr>
              <w:t>за</w:t>
            </w:r>
            <w:proofErr w:type="spellEnd"/>
            <w:r>
              <w:rPr>
                <w:i/>
                <w:color w:val="000000"/>
              </w:rPr>
              <w:t xml:space="preserve"> </w:t>
            </w:r>
            <w:proofErr w:type="spellStart"/>
            <w:r>
              <w:rPr>
                <w:i/>
                <w:color w:val="000000"/>
              </w:rPr>
              <w:t>педагошка</w:t>
            </w:r>
            <w:proofErr w:type="spellEnd"/>
            <w:r>
              <w:rPr>
                <w:i/>
                <w:color w:val="000000"/>
              </w:rPr>
              <w:t xml:space="preserve"> </w:t>
            </w:r>
            <w:proofErr w:type="spellStart"/>
            <w:r>
              <w:rPr>
                <w:i/>
                <w:color w:val="000000"/>
              </w:rPr>
              <w:t>истраживања</w:t>
            </w:r>
            <w:proofErr w:type="spellEnd"/>
            <w:r>
              <w:rPr>
                <w:color w:val="000000"/>
              </w:rPr>
              <w:t xml:space="preserve">, </w:t>
            </w:r>
            <w:r>
              <w:rPr>
                <w:i/>
                <w:color w:val="000000"/>
              </w:rPr>
              <w:t>52</w:t>
            </w:r>
            <w:r>
              <w:rPr>
                <w:color w:val="000000"/>
              </w:rPr>
              <w:t>(2), 233-274.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b/>
                <w:color w:val="000000"/>
              </w:rPr>
            </w:pPr>
            <w:r>
              <w:rPr>
                <w:b/>
                <w:color w:val="000000"/>
              </w:rPr>
              <w:t>M24</w:t>
            </w:r>
          </w:p>
        </w:tc>
      </w:tr>
      <w:tr w:rsidR="0065272C" w:rsidRPr="00B37402" w:rsidTr="00977C38">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rPr>
                <w:color w:val="000000"/>
                <w:lang w:val="sr-Cyrl-RS"/>
              </w:rPr>
            </w:pPr>
            <w:proofErr w:type="spellStart"/>
            <w:r>
              <w:rPr>
                <w:color w:val="000000"/>
              </w:rPr>
              <w:t>Марковић</w:t>
            </w:r>
            <w:proofErr w:type="spellEnd"/>
            <w:r>
              <w:rPr>
                <w:color w:val="000000"/>
                <w:lang w:val="sr-Latn-RS"/>
              </w:rPr>
              <w:t xml:space="preserve">, </w:t>
            </w:r>
            <w:proofErr w:type="gramStart"/>
            <w:r>
              <w:rPr>
                <w:color w:val="000000"/>
              </w:rPr>
              <w:t>С</w:t>
            </w:r>
            <w:r>
              <w:rPr>
                <w:color w:val="000000"/>
                <w:lang w:val="sr-Latn-RS"/>
              </w:rPr>
              <w:t>.,</w:t>
            </w:r>
            <w:proofErr w:type="gramEnd"/>
            <w:r>
              <w:rPr>
                <w:color w:val="000000"/>
                <w:lang w:val="sr-Latn-RS"/>
              </w:rPr>
              <w:t xml:space="preserve"> </w:t>
            </w:r>
            <w:proofErr w:type="spellStart"/>
            <w:r>
              <w:rPr>
                <w:color w:val="000000"/>
              </w:rPr>
              <w:t>Вучковић</w:t>
            </w:r>
            <w:proofErr w:type="spellEnd"/>
            <w:r>
              <w:rPr>
                <w:color w:val="000000"/>
                <w:lang w:val="sr-Latn-RS"/>
              </w:rPr>
              <w:t xml:space="preserve">, </w:t>
            </w:r>
            <w:r>
              <w:rPr>
                <w:color w:val="000000"/>
              </w:rPr>
              <w:t>Ж</w:t>
            </w:r>
            <w:r>
              <w:rPr>
                <w:color w:val="000000"/>
                <w:lang w:val="sr-Latn-RS"/>
              </w:rPr>
              <w:t xml:space="preserve">. (2020). </w:t>
            </w:r>
            <w:proofErr w:type="spellStart"/>
            <w:r>
              <w:rPr>
                <w:color w:val="000000"/>
              </w:rPr>
              <w:t>Идеја</w:t>
            </w:r>
            <w:proofErr w:type="spellEnd"/>
            <w:r>
              <w:rPr>
                <w:color w:val="000000"/>
                <w:lang w:val="sr-Latn-RS"/>
              </w:rPr>
              <w:t xml:space="preserve"> </w:t>
            </w:r>
            <w:r>
              <w:rPr>
                <w:color w:val="000000"/>
              </w:rPr>
              <w:t>о</w:t>
            </w:r>
            <w:r>
              <w:rPr>
                <w:color w:val="000000"/>
                <w:lang w:val="sr-Latn-RS"/>
              </w:rPr>
              <w:t xml:space="preserve"> „</w:t>
            </w:r>
            <w:proofErr w:type="spellStart"/>
            <w:r>
              <w:rPr>
                <w:color w:val="000000"/>
              </w:rPr>
              <w:t>војвођанском</w:t>
            </w:r>
            <w:proofErr w:type="spellEnd"/>
            <w:r>
              <w:rPr>
                <w:color w:val="000000"/>
                <w:lang w:val="sr-Latn-RS"/>
              </w:rPr>
              <w:t xml:space="preserve"> </w:t>
            </w:r>
            <w:proofErr w:type="spellStart"/>
            <w:r>
              <w:rPr>
                <w:color w:val="000000"/>
              </w:rPr>
              <w:t>родољубу</w:t>
            </w:r>
            <w:proofErr w:type="spellEnd"/>
            <w:r>
              <w:rPr>
                <w:color w:val="000000"/>
                <w:lang w:val="sr-Latn-RS"/>
              </w:rPr>
              <w:t xml:space="preserve"> </w:t>
            </w:r>
            <w:r>
              <w:rPr>
                <w:color w:val="000000"/>
              </w:rPr>
              <w:t>и</w:t>
            </w:r>
            <w:r>
              <w:rPr>
                <w:color w:val="000000"/>
                <w:lang w:val="sr-Latn-RS"/>
              </w:rPr>
              <w:t xml:space="preserve"> </w:t>
            </w:r>
            <w:proofErr w:type="spellStart"/>
            <w:r>
              <w:rPr>
                <w:color w:val="000000"/>
              </w:rPr>
              <w:t>српском</w:t>
            </w:r>
            <w:proofErr w:type="spellEnd"/>
            <w:r>
              <w:rPr>
                <w:color w:val="000000"/>
                <w:lang w:val="sr-Latn-RS"/>
              </w:rPr>
              <w:t xml:space="preserve"> </w:t>
            </w:r>
            <w:proofErr w:type="spellStart"/>
            <w:r>
              <w:rPr>
                <w:color w:val="000000"/>
              </w:rPr>
              <w:t>патриоти</w:t>
            </w:r>
            <w:proofErr w:type="spellEnd"/>
            <w:r>
              <w:rPr>
                <w:color w:val="000000"/>
                <w:lang w:val="sr-Latn-RS"/>
              </w:rPr>
              <w:t xml:space="preserve">“. </w:t>
            </w:r>
            <w:proofErr w:type="spellStart"/>
            <w:r>
              <w:rPr>
                <w:color w:val="000000"/>
              </w:rPr>
              <w:t>Друштвени</w:t>
            </w:r>
            <w:proofErr w:type="spellEnd"/>
            <w:r>
              <w:rPr>
                <w:color w:val="000000"/>
                <w:lang w:val="sr-Latn-RS"/>
              </w:rPr>
              <w:t xml:space="preserve"> </w:t>
            </w:r>
            <w:proofErr w:type="spellStart"/>
            <w:r>
              <w:rPr>
                <w:color w:val="000000"/>
              </w:rPr>
              <w:t>контекст</w:t>
            </w:r>
            <w:proofErr w:type="spellEnd"/>
            <w:r>
              <w:rPr>
                <w:color w:val="000000"/>
                <w:lang w:val="sr-Latn-RS"/>
              </w:rPr>
              <w:t xml:space="preserve"> </w:t>
            </w:r>
            <w:proofErr w:type="spellStart"/>
            <w:r>
              <w:rPr>
                <w:color w:val="000000"/>
              </w:rPr>
              <w:t>Новосадске</w:t>
            </w:r>
            <w:proofErr w:type="spellEnd"/>
            <w:r>
              <w:rPr>
                <w:color w:val="000000"/>
                <w:lang w:val="sr-Latn-RS"/>
              </w:rPr>
              <w:t xml:space="preserve"> </w:t>
            </w:r>
            <w:proofErr w:type="spellStart"/>
            <w:r>
              <w:rPr>
                <w:color w:val="000000"/>
              </w:rPr>
              <w:t>резолуције</w:t>
            </w:r>
            <w:proofErr w:type="spellEnd"/>
            <w:r>
              <w:rPr>
                <w:color w:val="000000"/>
                <w:lang w:val="sr-Latn-RS"/>
              </w:rPr>
              <w:t xml:space="preserve"> </w:t>
            </w:r>
            <w:proofErr w:type="spellStart"/>
            <w:r>
              <w:rPr>
                <w:color w:val="000000"/>
              </w:rPr>
              <w:t>из</w:t>
            </w:r>
            <w:proofErr w:type="spellEnd"/>
            <w:r>
              <w:rPr>
                <w:color w:val="000000"/>
                <w:lang w:val="sr-Latn-RS"/>
              </w:rPr>
              <w:t xml:space="preserve"> 1932. </w:t>
            </w:r>
            <w:proofErr w:type="spellStart"/>
            <w:r>
              <w:rPr>
                <w:color w:val="000000"/>
              </w:rPr>
              <w:t>Године</w:t>
            </w:r>
            <w:proofErr w:type="spellEnd"/>
            <w:r>
              <w:rPr>
                <w:color w:val="000000"/>
                <w:lang w:val="sr-Latn-RS"/>
              </w:rPr>
              <w:t xml:space="preserve">. </w:t>
            </w:r>
            <w:proofErr w:type="spellStart"/>
            <w:r>
              <w:rPr>
                <w:i/>
                <w:color w:val="000000"/>
              </w:rPr>
              <w:t>Социолошки</w:t>
            </w:r>
            <w:proofErr w:type="spellEnd"/>
            <w:r>
              <w:rPr>
                <w:i/>
                <w:color w:val="000000"/>
                <w:lang w:val="sr-Latn-RS"/>
              </w:rPr>
              <w:t xml:space="preserve"> </w:t>
            </w:r>
            <w:proofErr w:type="spellStart"/>
            <w:r>
              <w:rPr>
                <w:i/>
                <w:color w:val="000000"/>
              </w:rPr>
              <w:t>преглед</w:t>
            </w:r>
            <w:proofErr w:type="spellEnd"/>
            <w:r>
              <w:rPr>
                <w:color w:val="000000"/>
                <w:lang w:val="sr-Latn-RS"/>
              </w:rPr>
              <w:t xml:space="preserve">, </w:t>
            </w:r>
            <w:r>
              <w:rPr>
                <w:color w:val="000000"/>
                <w:lang w:val="sr-Cyrl-RS"/>
              </w:rPr>
              <w:t xml:space="preserve">Год. 54, бр. 4, 1279-1297.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b/>
                <w:color w:val="000000"/>
              </w:rPr>
            </w:pPr>
            <w:r>
              <w:rPr>
                <w:b/>
                <w:color w:val="000000"/>
              </w:rPr>
              <w:t>M24</w:t>
            </w:r>
          </w:p>
        </w:tc>
      </w:tr>
      <w:tr w:rsidR="0065272C" w:rsidRPr="00B37402" w:rsidTr="00977C38">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rPr>
                <w:color w:val="000000"/>
              </w:rPr>
            </w:pPr>
            <w:r>
              <w:rPr>
                <w:color w:val="000000"/>
                <w:lang w:val="sr-Latn-RS"/>
              </w:rPr>
              <w:t>Šumonja, M</w:t>
            </w:r>
            <w:r>
              <w:rPr>
                <w:color w:val="000000"/>
                <w:lang w:val="sr-Cyrl-RS"/>
              </w:rPr>
              <w:t>.</w:t>
            </w:r>
            <w:r>
              <w:rPr>
                <w:color w:val="000000"/>
                <w:lang w:val="sr-Latn-RS"/>
              </w:rPr>
              <w:t xml:space="preserve"> (2020). Između prosvetiteljstva i protiv-prosvetiteljstva: isotrijsko-filozofsko značenje Vitgenštajnovog Tractatusa, </w:t>
            </w:r>
            <w:r>
              <w:rPr>
                <w:i/>
                <w:color w:val="000000"/>
                <w:lang w:val="sr-Latn-RS"/>
              </w:rPr>
              <w:t>Theoria</w:t>
            </w:r>
            <w:r>
              <w:rPr>
                <w:color w:val="000000"/>
                <w:lang w:val="sr-Latn-RS"/>
              </w:rPr>
              <w:t xml:space="preserve">, 63, 41-76. </w:t>
            </w:r>
            <w:r>
              <w:rPr>
                <w:color w:val="000000"/>
              </w:rPr>
              <w:t>DOI 10.2298/THEO2002041S</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b/>
                <w:color w:val="000000"/>
              </w:rPr>
            </w:pPr>
            <w:r>
              <w:rPr>
                <w:b/>
                <w:color w:val="000000"/>
              </w:rPr>
              <w:t>M24</w:t>
            </w:r>
          </w:p>
        </w:tc>
      </w:tr>
      <w:tr w:rsidR="0065272C" w:rsidRPr="00B37402" w:rsidTr="00977C38">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rPr>
                <w:color w:val="000000"/>
              </w:rPr>
            </w:pPr>
            <w:r>
              <w:rPr>
                <w:lang w:val="sr-Latn-CS"/>
              </w:rPr>
              <w:t xml:space="preserve">Šimonji Černak, R., Mićanović Cvejić, Ž. (2020). Afektivna privrženost u partnerskim odnosima kao prediktor depresivnosti. </w:t>
            </w:r>
            <w:r>
              <w:rPr>
                <w:i/>
                <w:lang w:val="sr-Latn-CS"/>
              </w:rPr>
              <w:t>Zbornik matice srpske za društvene nauke</w:t>
            </w:r>
            <w:r>
              <w:rPr>
                <w:lang w:val="sr-Latn-CS"/>
              </w:rPr>
              <w:t xml:space="preserve">, 173, 51-64.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b/>
                <w:color w:val="000000"/>
              </w:rPr>
            </w:pPr>
            <w:r>
              <w:rPr>
                <w:b/>
                <w:color w:val="000000"/>
              </w:rPr>
              <w:t>M24</w:t>
            </w:r>
          </w:p>
        </w:tc>
      </w:tr>
      <w:tr w:rsidR="0065272C" w:rsidRPr="00B37402" w:rsidTr="00977C38">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jc w:val="both"/>
              <w:rPr>
                <w:b/>
                <w:color w:val="000000"/>
                <w:sz w:val="20"/>
                <w:szCs w:val="20"/>
                <w:lang w:val="sr-Cyrl-RS"/>
              </w:rPr>
            </w:pPr>
            <w:r>
              <w:rPr>
                <w:lang w:val="sr-Latn-RS"/>
              </w:rPr>
              <w:t xml:space="preserve">Maričić, </w:t>
            </w:r>
            <w:r>
              <w:t>О</w:t>
            </w:r>
            <w:r>
              <w:rPr>
                <w:lang w:val="sr-Latn-RS"/>
              </w:rPr>
              <w:t xml:space="preserve">., Ivkov-Džigurski, </w:t>
            </w:r>
            <w:r>
              <w:t>А</w:t>
            </w:r>
            <w:r>
              <w:rPr>
                <w:lang w:val="sr-Latn-RS"/>
              </w:rPr>
              <w:t xml:space="preserve">., Stojšić, I., Cvjetićanin, S., </w:t>
            </w:r>
            <w:r>
              <w:rPr>
                <w:lang w:val="sr-Cyrl-RS"/>
              </w:rPr>
              <w:t xml:space="preserve">&amp; </w:t>
            </w:r>
            <w:r>
              <w:rPr>
                <w:lang w:val="sr-Latn-RS"/>
              </w:rPr>
              <w:t xml:space="preserve">Ivanović Bibić, Lj. </w:t>
            </w:r>
            <w:r>
              <w:t xml:space="preserve">(2020). Multimedia Teaching Effectiveness in Natural Science Teaching. </w:t>
            </w:r>
            <w:proofErr w:type="spellStart"/>
            <w:r>
              <w:rPr>
                <w:i/>
              </w:rPr>
              <w:t>Geographica</w:t>
            </w:r>
            <w:proofErr w:type="spellEnd"/>
            <w:r>
              <w:rPr>
                <w:i/>
              </w:rPr>
              <w:t xml:space="preserve"> </w:t>
            </w:r>
            <w:proofErr w:type="spellStart"/>
            <w:r>
              <w:rPr>
                <w:i/>
              </w:rPr>
              <w:t>Pannonica</w:t>
            </w:r>
            <w:proofErr w:type="spellEnd"/>
            <w:r>
              <w:rPr>
                <w:lang w:val="sr-Cyrl-RS"/>
              </w:rPr>
              <w:t>.</w:t>
            </w:r>
            <w:r>
              <w:t xml:space="preserve"> 24(2), 147-156</w:t>
            </w:r>
            <w:r>
              <w:rPr>
                <w:lang w:val="sr-Cyrl-RS"/>
              </w:rPr>
              <w:t>.</w:t>
            </w:r>
            <w:r>
              <w:t xml:space="preserve"> </w:t>
            </w:r>
            <w:proofErr w:type="spellStart"/>
            <w:r>
              <w:t>doi</w:t>
            </w:r>
            <w:proofErr w:type="spellEnd"/>
            <w:r>
              <w:t xml:space="preserve">: </w:t>
            </w:r>
            <w:hyperlink r:id="rId7" w:history="1">
              <w:r>
                <w:rPr>
                  <w:rStyle w:val="Hyperlink"/>
                  <w:color w:val="0070C0"/>
                </w:rPr>
                <w:t>10.5937/gp24-23357</w:t>
              </w:r>
            </w:hyperlink>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65272C" w:rsidRDefault="0065272C" w:rsidP="0065272C">
            <w:pPr>
              <w:spacing w:line="256" w:lineRule="auto"/>
              <w:rPr>
                <w:b/>
                <w:color w:val="000000"/>
                <w:lang w:val="sr-Latn-RS"/>
              </w:rPr>
            </w:pPr>
            <w:r>
              <w:rPr>
                <w:b/>
                <w:color w:val="000000"/>
                <w:lang w:val="sr-Latn-RS"/>
              </w:rPr>
              <w:t>M24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napToGrid w:val="0"/>
              <w:spacing w:line="256" w:lineRule="auto"/>
              <w:rPr>
                <w:rFonts w:eastAsia="Times New Roman"/>
              </w:rPr>
            </w:pPr>
            <w:r>
              <w:rPr>
                <w:color w:val="000000"/>
                <w:lang w:val="sr-Cyrl-RS"/>
              </w:rPr>
              <w:t xml:space="preserve">Шаранчић Чутура, С. </w:t>
            </w:r>
            <w:r>
              <w:rPr>
                <w:i/>
                <w:color w:val="000000"/>
                <w:lang w:val="sr-Cyrl-RS"/>
              </w:rPr>
              <w:t xml:space="preserve">Осврт на </w:t>
            </w:r>
            <w:r>
              <w:rPr>
                <w:color w:val="000000"/>
                <w:lang w:val="sr-Cyrl-RS"/>
              </w:rPr>
              <w:t xml:space="preserve">дете, детињско, наивно </w:t>
            </w:r>
            <w:r>
              <w:rPr>
                <w:i/>
                <w:color w:val="000000"/>
                <w:lang w:val="sr-Cyrl-RS"/>
              </w:rPr>
              <w:t>у есејима и белешкама Момчила Настасијевића</w:t>
            </w:r>
            <w:r>
              <w:rPr>
                <w:color w:val="000000"/>
                <w:lang w:val="sr-Cyrl-RS"/>
              </w:rPr>
              <w:t xml:space="preserve">, у: Зборник Матице српске за књижевност и језик, Нови Сад: Матица српска, књ. </w:t>
            </w:r>
            <w:r>
              <w:rPr>
                <w:color w:val="000000"/>
                <w:lang w:val="sr-Latn-RS"/>
              </w:rPr>
              <w:t xml:space="preserve">LXVII, </w:t>
            </w:r>
            <w:r>
              <w:rPr>
                <w:color w:val="000000"/>
                <w:lang w:val="sr-Cyrl-RS"/>
              </w:rPr>
              <w:t>св. 2, 2019</w:t>
            </w:r>
            <w:r>
              <w:rPr>
                <w:color w:val="000000"/>
                <w:lang w:val="sr-Latn-RS"/>
              </w:rPr>
              <w:t xml:space="preserve">, стр. </w:t>
            </w:r>
            <w:r>
              <w:rPr>
                <w:color w:val="000000"/>
                <w:lang w:val="sr-Cyrl-RS"/>
              </w:rPr>
              <w:t xml:space="preserve">463–481. </w:t>
            </w:r>
            <w:r>
              <w:rPr>
                <w:color w:val="000000"/>
                <w:lang w:val="sr-Latn-RS"/>
              </w:rPr>
              <w:t>UDC</w:t>
            </w:r>
            <w:r>
              <w:rPr>
                <w:color w:val="000000"/>
                <w:lang w:val="sr-Cyrl-RS"/>
              </w:rPr>
              <w:t xml:space="preserve"> 821.163.41.09</w:t>
            </w:r>
            <w:r>
              <w:rPr>
                <w:color w:val="000000"/>
                <w:lang w:val="sr-Latn-RS"/>
              </w:rPr>
              <w:t>Nastasijević M.</w:t>
            </w:r>
            <w:r>
              <w:rPr>
                <w:color w:val="000000"/>
                <w:lang w:val="sr-Cyrl-RS"/>
              </w:rPr>
              <w:t>; ISSN 0543–1220.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napToGrid w:val="0"/>
              <w:spacing w:line="256" w:lineRule="auto"/>
              <w:jc w:val="center"/>
              <w:rPr>
                <w:b/>
              </w:rPr>
            </w:pPr>
            <w:r>
              <w:rPr>
                <w:b/>
                <w:color w:val="000000"/>
                <w:lang w:val="sr-Cyrl-RS"/>
              </w:rPr>
              <w:t>M24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napToGrid w:val="0"/>
              <w:spacing w:line="256" w:lineRule="auto"/>
              <w:rPr>
                <w:lang w:val="sr-Latn-RS"/>
              </w:rPr>
            </w:pPr>
            <w:r>
              <w:rPr>
                <w:lang w:val="sr-Cyrl-RS"/>
              </w:rPr>
              <w:t xml:space="preserve"> Gojković, </w:t>
            </w:r>
            <w:r>
              <w:rPr>
                <w:lang w:val="sr-Latn-RS"/>
              </w:rPr>
              <w:t>N. (2019).</w:t>
            </w:r>
            <w:r>
              <w:rPr>
                <w:lang w:val="sr-Cyrl-RS"/>
              </w:rPr>
              <w:t xml:space="preserve"> Džud Foli i Sju Brajdhed: iluzije o životu van društvenih okvira</w:t>
            </w:r>
            <w:r>
              <w:rPr>
                <w:lang w:val="sr-Latn-RS"/>
              </w:rPr>
              <w:t>.</w:t>
            </w:r>
            <w:r>
              <w:rPr>
                <w:lang w:val="sr-Cyrl-RS"/>
              </w:rPr>
              <w:t xml:space="preserve"> </w:t>
            </w:r>
            <w:r>
              <w:rPr>
                <w:i/>
                <w:iCs/>
                <w:lang w:val="sr-Cyrl-RS"/>
              </w:rPr>
              <w:t>Književna istorija</w:t>
            </w:r>
            <w:r>
              <w:rPr>
                <w:lang w:val="sr-Cyrl-RS"/>
              </w:rPr>
              <w:t xml:space="preserve">, </w:t>
            </w:r>
            <w:r>
              <w:rPr>
                <w:lang w:val="sr-Latn-RS"/>
              </w:rPr>
              <w:t xml:space="preserve">God. 51, br. 167, </w:t>
            </w:r>
            <w:r>
              <w:rPr>
                <w:lang w:val="sr-Cyrl-RS"/>
              </w:rPr>
              <w:t xml:space="preserve">str. 259-278.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napToGrid w:val="0"/>
              <w:spacing w:line="256" w:lineRule="auto"/>
              <w:jc w:val="center"/>
              <w:rPr>
                <w:b/>
              </w:rPr>
            </w:pPr>
            <w:r>
              <w:rPr>
                <w:b/>
                <w:color w:val="000000"/>
                <w:lang w:val="sr-Cyrl-RS"/>
              </w:rPr>
              <w:t>M24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jc w:val="both"/>
              <w:rPr>
                <w:lang w:val="sr-Latn-RS"/>
              </w:rPr>
            </w:pPr>
            <w:r>
              <w:rPr>
                <w:color w:val="000000"/>
                <w:lang w:val="sr-Cyrl-RS"/>
              </w:rPr>
              <w:t>Ђуркин</w:t>
            </w:r>
            <w:r>
              <w:rPr>
                <w:color w:val="000000"/>
                <w:lang w:val="sr-Latn-RS"/>
              </w:rPr>
              <w:t xml:space="preserve">, </w:t>
            </w:r>
            <w:r>
              <w:rPr>
                <w:color w:val="000000"/>
                <w:lang w:val="sr-Cyrl-RS"/>
              </w:rPr>
              <w:t>В. (2019)</w:t>
            </w:r>
            <w:r>
              <w:rPr>
                <w:bCs/>
                <w:color w:val="000000"/>
                <w:lang w:val="sr-Cyrl-RS"/>
              </w:rPr>
              <w:t>. Модели компоновања сложених зависних везника у српском језику. С</w:t>
            </w:r>
            <w:r>
              <w:rPr>
                <w:bCs/>
                <w:i/>
                <w:iCs/>
                <w:color w:val="000000"/>
                <w:lang w:val="sr-Cyrl-RS"/>
              </w:rPr>
              <w:t>рпски језик: студије српске и словенске</w:t>
            </w:r>
            <w:r>
              <w:rPr>
                <w:bCs/>
                <w:color w:val="000000"/>
                <w:lang w:val="sr-Cyrl-RS"/>
              </w:rPr>
              <w:t xml:space="preserve">, XXIV/1, 315−335.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napToGrid w:val="0"/>
              <w:spacing w:line="256" w:lineRule="auto"/>
              <w:jc w:val="center"/>
              <w:rPr>
                <w:b/>
              </w:rPr>
            </w:pPr>
            <w:r>
              <w:rPr>
                <w:b/>
                <w:color w:val="000000"/>
                <w:lang w:val="sr-Cyrl-RS"/>
              </w:rPr>
              <w:t>M24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jc w:val="both"/>
              <w:rPr>
                <w:lang w:val="sr-Latn-RS"/>
              </w:rPr>
            </w:pPr>
            <w:r>
              <w:rPr>
                <w:lang w:val="sr-Cyrl-RS"/>
              </w:rPr>
              <w:t>Голијанин Елез, С. (2019). Онтолошки</w:t>
            </w:r>
            <w:r>
              <w:rPr>
                <w:lang w:val="sr-Latn-RS"/>
              </w:rPr>
              <w:t xml:space="preserve"> </w:t>
            </w:r>
            <w:r>
              <w:rPr>
                <w:lang w:val="sr-Cyrl-RS"/>
              </w:rPr>
              <w:t>аспекти</w:t>
            </w:r>
            <w:r>
              <w:rPr>
                <w:lang w:val="sr-Latn-RS"/>
              </w:rPr>
              <w:t xml:space="preserve"> </w:t>
            </w:r>
            <w:r>
              <w:rPr>
                <w:lang w:val="sr-Cyrl-RS"/>
              </w:rPr>
              <w:t>андрићеве</w:t>
            </w:r>
            <w:r>
              <w:rPr>
                <w:lang w:val="sr-Latn-RS"/>
              </w:rPr>
              <w:t xml:space="preserve"> </w:t>
            </w:r>
            <w:r>
              <w:rPr>
                <w:lang w:val="sr-Cyrl-RS"/>
              </w:rPr>
              <w:t>ране</w:t>
            </w:r>
            <w:r>
              <w:rPr>
                <w:lang w:val="sr-Latn-RS"/>
              </w:rPr>
              <w:t xml:space="preserve"> </w:t>
            </w:r>
            <w:r>
              <w:rPr>
                <w:lang w:val="sr-Cyrl-RS"/>
              </w:rPr>
              <w:t>лирике</w:t>
            </w:r>
            <w:r>
              <w:rPr>
                <w:lang w:val="sr-Latn-RS"/>
              </w:rPr>
              <w:t xml:space="preserve"> </w:t>
            </w:r>
            <w:r>
              <w:rPr>
                <w:lang w:val="sr-Cyrl-RS"/>
              </w:rPr>
              <w:t>и</w:t>
            </w:r>
            <w:r>
              <w:rPr>
                <w:lang w:val="sr-Latn-RS"/>
              </w:rPr>
              <w:t xml:space="preserve"> </w:t>
            </w:r>
            <w:r>
              <w:rPr>
                <w:lang w:val="sr-Cyrl-RS"/>
              </w:rPr>
              <w:t>романа</w:t>
            </w:r>
            <w:r>
              <w:rPr>
                <w:lang w:val="sr-Latn-RS"/>
              </w:rPr>
              <w:t xml:space="preserve"> </w:t>
            </w:r>
            <w:r>
              <w:rPr>
                <w:lang w:val="sr-Cyrl-RS"/>
              </w:rPr>
              <w:t>у</w:t>
            </w:r>
            <w:r>
              <w:rPr>
                <w:lang w:val="sr-Latn-RS"/>
              </w:rPr>
              <w:t xml:space="preserve"> </w:t>
            </w:r>
            <w:r>
              <w:rPr>
                <w:lang w:val="sr-Cyrl-RS"/>
              </w:rPr>
              <w:t>настајању</w:t>
            </w:r>
            <w:r>
              <w:rPr>
                <w:lang w:val="sr-Latn-RS"/>
              </w:rPr>
              <w:t xml:space="preserve"> – </w:t>
            </w:r>
            <w:r>
              <w:rPr>
                <w:lang w:val="sr-Cyrl-RS"/>
              </w:rPr>
              <w:t>поетска</w:t>
            </w:r>
            <w:r>
              <w:rPr>
                <w:lang w:val="sr-Latn-RS"/>
              </w:rPr>
              <w:t xml:space="preserve"> </w:t>
            </w:r>
            <w:r>
              <w:rPr>
                <w:lang w:val="sr-Cyrl-RS"/>
              </w:rPr>
              <w:t>духовност</w:t>
            </w:r>
            <w:r>
              <w:rPr>
                <w:lang w:val="sr-Latn-RS"/>
              </w:rPr>
              <w:t xml:space="preserve"> </w:t>
            </w:r>
            <w:r>
              <w:rPr>
                <w:lang w:val="sr-Cyrl-RS"/>
              </w:rPr>
              <w:t>процесуалне</w:t>
            </w:r>
            <w:r>
              <w:rPr>
                <w:lang w:val="sr-Latn-RS"/>
              </w:rPr>
              <w:t xml:space="preserve"> </w:t>
            </w:r>
            <w:r>
              <w:rPr>
                <w:lang w:val="sr-Cyrl-RS"/>
              </w:rPr>
              <w:t xml:space="preserve">форме. </w:t>
            </w:r>
            <w:r>
              <w:rPr>
                <w:i/>
                <w:lang w:val="sr-Cyrl-RS"/>
              </w:rPr>
              <w:t>Наслеђе: часопис за књижевност, језик, уметност и кутуру</w:t>
            </w:r>
            <w:r>
              <w:rPr>
                <w:lang w:val="sr-Cyrl-RS"/>
              </w:rPr>
              <w:t>, год. XVI, бр.44, 227–243.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napToGrid w:val="0"/>
              <w:spacing w:line="256" w:lineRule="auto"/>
              <w:jc w:val="center"/>
              <w:rPr>
                <w:b/>
              </w:rPr>
            </w:pPr>
            <w:r>
              <w:rPr>
                <w:b/>
                <w:color w:val="000000"/>
                <w:lang w:val="sr-Cyrl-RS"/>
              </w:rPr>
              <w:t>M24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rPr>
                <w:color w:val="000000"/>
                <w:lang w:val="sr-Cyrl-RS"/>
              </w:rPr>
            </w:pPr>
            <w:r>
              <w:rPr>
                <w:color w:val="000000"/>
                <w:lang w:val="sr-Cyrl-RS"/>
              </w:rPr>
              <w:t xml:space="preserve">Буишић, С., Цвејић, Д. &amp; Пејовић, Т. (2019). Аспекти селф-концепта ученика млађег школског узраста као важни фактори за активно учествовање у настави физичког васпитања. </w:t>
            </w:r>
            <w:r>
              <w:rPr>
                <w:i/>
                <w:color w:val="000000"/>
                <w:lang w:val="sr-Cyrl-RS"/>
              </w:rPr>
              <w:t>Теме, 43</w:t>
            </w:r>
            <w:r>
              <w:rPr>
                <w:color w:val="000000"/>
                <w:lang w:val="sr-Cyrl-RS"/>
              </w:rPr>
              <w:t>(1), 19-31.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pacing w:line="256" w:lineRule="auto"/>
              <w:jc w:val="center"/>
              <w:rPr>
                <w:b/>
                <w:color w:val="000000"/>
                <w:lang w:val="sr-Cyrl-RS"/>
              </w:rPr>
            </w:pPr>
            <w:r>
              <w:rPr>
                <w:b/>
                <w:color w:val="000000"/>
                <w:lang w:val="sr-Cyrl-RS"/>
              </w:rPr>
              <w:t>М24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jc w:val="both"/>
              <w:rPr>
                <w:color w:val="000000"/>
                <w:lang w:val="sr-Latn-RS"/>
              </w:rPr>
            </w:pPr>
            <w:r>
              <w:rPr>
                <w:color w:val="000000"/>
                <w:lang w:val="sr-Cyrl-RS"/>
              </w:rPr>
              <w:t xml:space="preserve">Đorđić, D. (2019). Kulturna različitost kao deo održivog razvoja i kulturno responzivno poučavanje. </w:t>
            </w:r>
            <w:r>
              <w:rPr>
                <w:i/>
                <w:color w:val="000000"/>
                <w:lang w:val="sr-Cyrl-RS"/>
              </w:rPr>
              <w:t>Inovacije u nastavi</w:t>
            </w:r>
            <w:r>
              <w:rPr>
                <w:color w:val="000000"/>
                <w:lang w:val="sr-Cyrl-RS"/>
              </w:rPr>
              <w:t>, 32(3), 117-129.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pacing w:line="256" w:lineRule="auto"/>
              <w:jc w:val="center"/>
              <w:rPr>
                <w:b/>
                <w:color w:val="000000"/>
                <w:lang w:val="sr-Cyrl-RS"/>
              </w:rPr>
            </w:pPr>
            <w:r>
              <w:rPr>
                <w:b/>
                <w:color w:val="000000"/>
                <w:lang w:val="sr-Cyrl-RS"/>
              </w:rPr>
              <w:t>М24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jc w:val="both"/>
              <w:rPr>
                <w:b/>
                <w:color w:val="000000"/>
                <w:lang w:val="sr-Cyrl-RS"/>
              </w:rPr>
            </w:pPr>
            <w:proofErr w:type="spellStart"/>
            <w:r>
              <w:rPr>
                <w:lang w:val="en-GB"/>
              </w:rPr>
              <w:t>Sakač</w:t>
            </w:r>
            <w:proofErr w:type="spellEnd"/>
            <w:r>
              <w:rPr>
                <w:lang w:val="en-GB"/>
              </w:rPr>
              <w:t xml:space="preserve">, M., </w:t>
            </w:r>
            <w:proofErr w:type="spellStart"/>
            <w:r>
              <w:rPr>
                <w:bCs/>
                <w:lang w:val="en-GB"/>
              </w:rPr>
              <w:t>Marić</w:t>
            </w:r>
            <w:proofErr w:type="spellEnd"/>
            <w:r>
              <w:rPr>
                <w:bCs/>
                <w:lang w:val="en-GB"/>
              </w:rPr>
              <w:t>, M.</w:t>
            </w:r>
            <w:r>
              <w:rPr>
                <w:lang w:val="en-GB"/>
              </w:rPr>
              <w:t xml:space="preserve"> (2019). The value system and locus of control in students.</w:t>
            </w:r>
            <w:r>
              <w:rPr>
                <w:b/>
                <w:bCs/>
                <w:lang w:val="en-GB"/>
              </w:rPr>
              <w:t xml:space="preserve"> </w:t>
            </w:r>
            <w:proofErr w:type="spellStart"/>
            <w:r>
              <w:rPr>
                <w:i/>
                <w:iCs/>
                <w:lang w:val="en-GB"/>
              </w:rPr>
              <w:t>Sociološki</w:t>
            </w:r>
            <w:proofErr w:type="spellEnd"/>
            <w:r>
              <w:rPr>
                <w:i/>
                <w:iCs/>
                <w:lang w:val="en-GB"/>
              </w:rPr>
              <w:t xml:space="preserve"> </w:t>
            </w:r>
            <w:proofErr w:type="spellStart"/>
            <w:r>
              <w:rPr>
                <w:i/>
                <w:iCs/>
                <w:lang w:val="en-GB"/>
              </w:rPr>
              <w:t>pregled</w:t>
            </w:r>
            <w:proofErr w:type="spellEnd"/>
            <w:r>
              <w:rPr>
                <w:i/>
                <w:iCs/>
                <w:lang w:val="en-GB"/>
              </w:rPr>
              <w:t>, 53</w:t>
            </w:r>
            <w:r>
              <w:rPr>
                <w:lang w:val="en-GB"/>
              </w:rPr>
              <w:t>(1), 136-159.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pacing w:line="256" w:lineRule="auto"/>
              <w:jc w:val="center"/>
              <w:rPr>
                <w:b/>
                <w:color w:val="000000"/>
              </w:rPr>
            </w:pPr>
            <w:r>
              <w:rPr>
                <w:b/>
                <w:color w:val="000000"/>
              </w:rPr>
              <w:t>M24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jc w:val="both"/>
              <w:rPr>
                <w:color w:val="000000"/>
                <w:lang w:val="sr-Cyrl-RS"/>
              </w:rPr>
            </w:pPr>
            <w:r>
              <w:rPr>
                <w:color w:val="000000"/>
                <w:lang w:val="sr-Cyrl-RS"/>
              </w:rPr>
              <w:t xml:space="preserve">Trbojević, A., Španović, S. i Hus, V. (2019). Kako učenici vide ulogu udžbenika prirode i društva u usvajanju društvenih sadržaja / How Students View the Role of the Textbook Nature and Society in the Adoption of Social Contents. </w:t>
            </w:r>
            <w:r>
              <w:rPr>
                <w:i/>
                <w:color w:val="000000"/>
                <w:lang w:val="sr-Cyrl-RS"/>
              </w:rPr>
              <w:t>Zbornik Instituta za pedagoška istraživanja</w:t>
            </w:r>
            <w:r>
              <w:rPr>
                <w:color w:val="000000"/>
                <w:lang w:val="sr-Cyrl-RS"/>
              </w:rPr>
              <w:t>, 51(1), 128-161.</w:t>
            </w:r>
          </w:p>
          <w:p w:rsidR="0065272C" w:rsidRDefault="0065272C" w:rsidP="0065272C">
            <w:pPr>
              <w:spacing w:line="256" w:lineRule="auto"/>
              <w:jc w:val="both"/>
              <w:rPr>
                <w:b/>
                <w:color w:val="000000"/>
                <w:lang w:val="sr-Latn-RS"/>
              </w:rPr>
            </w:pPr>
            <w:r>
              <w:rPr>
                <w:color w:val="000000"/>
                <w:lang w:val="sr-Cyrl-RS"/>
              </w:rPr>
              <w:t xml:space="preserve">DOI: </w:t>
            </w:r>
            <w:hyperlink r:id="rId8" w:history="1">
              <w:r>
                <w:rPr>
                  <w:rStyle w:val="Hyperlink"/>
                  <w:lang w:val="sr-Cyrl-RS"/>
                </w:rPr>
                <w:t>https://doi.org/10.2298/ZIPI1901128T</w:t>
              </w:r>
            </w:hyperlink>
            <w:r>
              <w:rPr>
                <w:color w:val="000000"/>
                <w:lang w:val="sr-Cyrl-RS"/>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pacing w:line="256" w:lineRule="auto"/>
              <w:jc w:val="center"/>
              <w:rPr>
                <w:b/>
                <w:color w:val="000000"/>
                <w:lang w:val="sr-Cyrl-RS"/>
              </w:rPr>
            </w:pPr>
            <w:r>
              <w:rPr>
                <w:b/>
                <w:color w:val="000000"/>
                <w:lang w:val="sr-Cyrl-RS"/>
              </w:rPr>
              <w:t>M24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jc w:val="both"/>
              <w:rPr>
                <w:b/>
                <w:color w:val="000000"/>
                <w:lang w:val="sr-Latn-RS"/>
              </w:rPr>
            </w:pPr>
            <w:r>
              <w:rPr>
                <w:color w:val="1D2228"/>
                <w:shd w:val="clear" w:color="auto" w:fill="FFFFFF"/>
                <w:lang w:val="sr-Latn-RS"/>
              </w:rPr>
              <w:t xml:space="preserve">Marković, S. (2019). </w:t>
            </w:r>
            <w:r>
              <w:rPr>
                <w:color w:val="1D2228"/>
                <w:shd w:val="clear" w:color="auto" w:fill="FFFFFF"/>
                <w:lang w:val="sr-Cyrl-RS"/>
              </w:rPr>
              <w:t>Ruska ideja – između nacionalnog egoizma, empatije i antimilitaizma i odjeci kod Srba do 1914. godine</w:t>
            </w:r>
            <w:r>
              <w:rPr>
                <w:color w:val="1D2228"/>
                <w:shd w:val="clear" w:color="auto" w:fill="FFFFFF"/>
                <w:lang w:val="sr-Latn-RS"/>
              </w:rPr>
              <w:t>.</w:t>
            </w:r>
            <w:r>
              <w:rPr>
                <w:color w:val="1D2228"/>
                <w:shd w:val="clear" w:color="auto" w:fill="FFFFFF"/>
                <w:lang w:val="sr-Cyrl-RS"/>
              </w:rPr>
              <w:t xml:space="preserve"> </w:t>
            </w:r>
            <w:r>
              <w:rPr>
                <w:i/>
                <w:color w:val="1D2228"/>
                <w:shd w:val="clear" w:color="auto" w:fill="FFFFFF"/>
                <w:lang w:val="sr-Cyrl-RS"/>
              </w:rPr>
              <w:t>Srpska politička misao</w:t>
            </w:r>
            <w:r>
              <w:rPr>
                <w:color w:val="1D2228"/>
                <w:shd w:val="clear" w:color="auto" w:fill="FFFFFF"/>
                <w:lang w:val="sr-Cyrl-RS"/>
              </w:rPr>
              <w:t>, br</w:t>
            </w:r>
            <w:r>
              <w:rPr>
                <w:color w:val="1D2228"/>
                <w:shd w:val="clear" w:color="auto" w:fill="FFFFFF"/>
                <w:lang w:val="sr-Latn-RS"/>
              </w:rPr>
              <w:t>.y</w:t>
            </w:r>
            <w:r>
              <w:rPr>
                <w:color w:val="1D2228"/>
                <w:shd w:val="clear" w:color="auto" w:fill="FFFFFF"/>
                <w:lang w:val="sr-Cyrl-RS"/>
              </w:rPr>
              <w:t xml:space="preserve"> 3, str. 347-365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pacing w:line="256" w:lineRule="auto"/>
              <w:jc w:val="center"/>
              <w:rPr>
                <w:b/>
                <w:color w:val="000000"/>
                <w:lang w:val="sr-Latn-RS"/>
              </w:rPr>
            </w:pPr>
            <w:r>
              <w:rPr>
                <w:b/>
                <w:color w:val="000000"/>
                <w:lang w:val="sr-Latn-RS"/>
              </w:rPr>
              <w:t>M24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76" w:lineRule="auto"/>
              <w:jc w:val="both"/>
              <w:rPr>
                <w:b/>
                <w:lang w:val="sr-Latn-CS"/>
              </w:rPr>
            </w:pPr>
            <w:r>
              <w:rPr>
                <w:lang w:val="sr-Latn-CS"/>
              </w:rPr>
              <w:t xml:space="preserve">Štrangarić, S. (2019). Socio-ekonomski i rodni aspekti kulturnog kapitala i primene znanja kod srednjoškolske populacije: studija slučaja. </w:t>
            </w:r>
            <w:r>
              <w:rPr>
                <w:i/>
                <w:lang w:val="sr-Latn-CS"/>
              </w:rPr>
              <w:t>Sociologija, 61</w:t>
            </w:r>
            <w:r>
              <w:rPr>
                <w:lang w:val="sr-Latn-CS"/>
              </w:rPr>
              <w:t>(3), 389-405.</w:t>
            </w:r>
          </w:p>
          <w:p w:rsidR="0065272C" w:rsidRDefault="0065272C" w:rsidP="0065272C">
            <w:pPr>
              <w:spacing w:line="256" w:lineRule="auto"/>
              <w:jc w:val="both"/>
              <w:rPr>
                <w:b/>
                <w:color w:val="000000"/>
              </w:rPr>
            </w:pPr>
            <w:r>
              <w:rPr>
                <w:rFonts w:eastAsia="MinionPro-Regular"/>
                <w:noProof/>
                <w:lang w:val="sr-Latn-CS"/>
              </w:rPr>
              <w:t>doi:</w:t>
            </w:r>
            <w:r>
              <w:rPr>
                <w:rFonts w:eastAsia="MinionPro-Regular"/>
                <w:lang w:val="sr-Latn-CS"/>
              </w:rPr>
              <w:t xml:space="preserve"> </w:t>
            </w:r>
            <w:hyperlink r:id="rId9" w:history="1">
              <w:r>
                <w:rPr>
                  <w:rStyle w:val="Hyperlink"/>
                  <w:rFonts w:eastAsia="MinionPro-Regular"/>
                  <w:lang w:val="sr-Latn-CS"/>
                </w:rPr>
                <w:t>https://doi.org/10.2298/SOC1903389S</w:t>
              </w:r>
            </w:hyperlink>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pacing w:line="256" w:lineRule="auto"/>
              <w:jc w:val="center"/>
              <w:rPr>
                <w:b/>
                <w:color w:val="000000"/>
              </w:rPr>
            </w:pPr>
            <w:r>
              <w:rPr>
                <w:b/>
                <w:color w:val="000000"/>
              </w:rPr>
              <w:t>M24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jc w:val="both"/>
              <w:rPr>
                <w:lang w:val="hr-HR"/>
              </w:rPr>
            </w:pPr>
            <w:r>
              <w:rPr>
                <w:lang w:val="hr-HR"/>
              </w:rPr>
              <w:t xml:space="preserve">Antolović, M., </w:t>
            </w:r>
            <w:r>
              <w:rPr>
                <w:lang w:val="sr-Cyrl-RS"/>
              </w:rPr>
              <w:t>Š</w:t>
            </w:r>
            <w:r>
              <w:rPr>
                <w:lang w:val="sr-Latn-RS"/>
              </w:rPr>
              <w:t>imunovi</w:t>
            </w:r>
            <w:r>
              <w:rPr>
                <w:lang w:val="sr-Cyrl-RS"/>
              </w:rPr>
              <w:t>ć-</w:t>
            </w:r>
            <w:r>
              <w:rPr>
                <w:lang w:val="sr-Latn-RS"/>
              </w:rPr>
              <w:t>Be</w:t>
            </w:r>
            <w:r>
              <w:rPr>
                <w:lang w:val="sr-Cyrl-RS"/>
              </w:rPr>
              <w:t>š</w:t>
            </w:r>
            <w:r>
              <w:rPr>
                <w:lang w:val="sr-Latn-RS"/>
              </w:rPr>
              <w:t>lin, B.</w:t>
            </w:r>
            <w:r>
              <w:rPr>
                <w:lang w:val="hr-HR"/>
              </w:rPr>
              <w:t xml:space="preserve"> (2019)</w:t>
            </w:r>
            <w:r>
              <w:rPr>
                <w:lang w:val="sr-Latn-RS"/>
              </w:rPr>
              <w:t xml:space="preserve">. </w:t>
            </w:r>
            <w:r>
              <w:t>Public</w:t>
            </w:r>
            <w:r>
              <w:rPr>
                <w:lang w:val="sr-Cyrl-RS"/>
              </w:rPr>
              <w:t xml:space="preserve"> </w:t>
            </w:r>
            <w:r>
              <w:t>History</w:t>
            </w:r>
            <w:r>
              <w:rPr>
                <w:lang w:val="sr-Cyrl-RS"/>
              </w:rPr>
              <w:t xml:space="preserve"> - </w:t>
            </w:r>
            <w:proofErr w:type="spellStart"/>
            <w:r>
              <w:t>istorijska</w:t>
            </w:r>
            <w:proofErr w:type="spellEnd"/>
            <w:r>
              <w:rPr>
                <w:lang w:val="sr-Cyrl-RS"/>
              </w:rPr>
              <w:t xml:space="preserve"> </w:t>
            </w:r>
            <w:proofErr w:type="spellStart"/>
            <w:r>
              <w:t>praksa</w:t>
            </w:r>
            <w:proofErr w:type="spellEnd"/>
            <w:r>
              <w:rPr>
                <w:lang w:val="sr-Cyrl-RS"/>
              </w:rPr>
              <w:t xml:space="preserve">, </w:t>
            </w:r>
            <w:proofErr w:type="spellStart"/>
            <w:r>
              <w:t>alternativni</w:t>
            </w:r>
            <w:proofErr w:type="spellEnd"/>
            <w:r>
              <w:rPr>
                <w:lang w:val="sr-Cyrl-RS"/>
              </w:rPr>
              <w:t xml:space="preserve"> </w:t>
            </w:r>
            <w:proofErr w:type="spellStart"/>
            <w:r>
              <w:t>pokret</w:t>
            </w:r>
            <w:proofErr w:type="spellEnd"/>
            <w:r>
              <w:rPr>
                <w:lang w:val="sr-Cyrl-RS"/>
              </w:rPr>
              <w:t xml:space="preserve">, </w:t>
            </w:r>
            <w:proofErr w:type="spellStart"/>
            <w:r>
              <w:t>nau</w:t>
            </w:r>
            <w:proofErr w:type="spellEnd"/>
            <w:r>
              <w:rPr>
                <w:lang w:val="sr-Cyrl-RS"/>
              </w:rPr>
              <w:t>č</w:t>
            </w:r>
            <w:proofErr w:type="spellStart"/>
            <w:r>
              <w:t>na</w:t>
            </w:r>
            <w:proofErr w:type="spellEnd"/>
            <w:r>
              <w:rPr>
                <w:lang w:val="sr-Cyrl-RS"/>
              </w:rPr>
              <w:t xml:space="preserve"> </w:t>
            </w:r>
            <w:proofErr w:type="spellStart"/>
            <w:r>
              <w:t>disciplina</w:t>
            </w:r>
            <w:proofErr w:type="spellEnd"/>
            <w:proofErr w:type="gramStart"/>
            <w:r>
              <w:rPr>
                <w:lang w:val="sr-Cyrl-RS"/>
              </w:rPr>
              <w:t>?“</w:t>
            </w:r>
            <w:proofErr w:type="gramEnd"/>
            <w:r>
              <w:rPr>
                <w:lang w:val="sr-Cyrl-RS"/>
              </w:rPr>
              <w:t xml:space="preserve">, </w:t>
            </w:r>
            <w:r>
              <w:rPr>
                <w:i/>
                <w:lang w:val="hr-HR"/>
              </w:rPr>
              <w:t>Istorija 20. veka</w:t>
            </w:r>
            <w:r>
              <w:rPr>
                <w:lang w:val="hr-HR"/>
              </w:rPr>
              <w:t xml:space="preserve">, God. 37, br. 1, 9–36. </w:t>
            </w:r>
          </w:p>
          <w:p w:rsidR="0065272C" w:rsidRDefault="0065272C" w:rsidP="0065272C">
            <w:pPr>
              <w:spacing w:line="256" w:lineRule="auto"/>
              <w:jc w:val="both"/>
            </w:pPr>
            <w:r>
              <w:rPr>
                <w:lang w:val="hr-HR"/>
              </w:rPr>
              <w:t>DOI: 10.29362/ist20veka.2019.1.ant.9-36</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pacing w:line="256" w:lineRule="auto"/>
              <w:jc w:val="center"/>
              <w:rPr>
                <w:b/>
                <w:color w:val="000000"/>
              </w:rPr>
            </w:pPr>
            <w:r>
              <w:rPr>
                <w:b/>
                <w:color w:val="000000"/>
              </w:rPr>
              <w:t>M24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jc w:val="both"/>
              <w:rPr>
                <w:lang w:val="sr-Latn-RS"/>
              </w:rPr>
            </w:pPr>
            <w:r>
              <w:rPr>
                <w:lang w:val="sr-Cyrl-RS"/>
              </w:rPr>
              <w:t>Antolović</w:t>
            </w:r>
            <w:r>
              <w:rPr>
                <w:lang w:val="sr-Latn-RS"/>
              </w:rPr>
              <w:t xml:space="preserve">, M. </w:t>
            </w:r>
            <w:r>
              <w:rPr>
                <w:lang w:val="sr-Cyrl-RS"/>
              </w:rPr>
              <w:t>(2019)</w:t>
            </w:r>
            <w:r>
              <w:rPr>
                <w:lang w:val="sr-Latn-RS"/>
              </w:rPr>
              <w:t xml:space="preserve">. </w:t>
            </w:r>
            <w:r>
              <w:rPr>
                <w:lang w:val="sr-Cyrl-RS"/>
              </w:rPr>
              <w:t xml:space="preserve">Rat naroda za svetonazore: Verner Zombart i ideje iz 1914.“,  </w:t>
            </w:r>
            <w:r>
              <w:rPr>
                <w:i/>
                <w:lang w:val="sr-Cyrl-RS"/>
              </w:rPr>
              <w:t>Etnoantropološki problemi</w:t>
            </w:r>
            <w:r>
              <w:rPr>
                <w:lang w:val="sr-Cyrl-RS"/>
              </w:rPr>
              <w:t xml:space="preserve">, god. 14, sv. 1  673–691. </w:t>
            </w:r>
          </w:p>
          <w:p w:rsidR="0065272C" w:rsidRDefault="0065272C" w:rsidP="0065272C">
            <w:pPr>
              <w:spacing w:line="256" w:lineRule="auto"/>
              <w:jc w:val="both"/>
              <w:rPr>
                <w:b/>
                <w:color w:val="000000"/>
                <w:lang w:val="sr-Latn-RS"/>
              </w:rPr>
            </w:pPr>
            <w:r>
              <w:rPr>
                <w:lang w:val="sr-Cyrl-RS"/>
              </w:rPr>
              <w:t xml:space="preserve">DOI: </w:t>
            </w:r>
            <w:hyperlink r:id="rId10" w:history="1">
              <w:r>
                <w:rPr>
                  <w:rStyle w:val="Hyperlink"/>
                  <w:lang w:val="sr-Cyrl-RS"/>
                </w:rPr>
                <w:t>https://doi.org/10.21301/eap.v14i2.12</w:t>
              </w:r>
            </w:hyperlink>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pacing w:line="256" w:lineRule="auto"/>
              <w:jc w:val="center"/>
              <w:rPr>
                <w:b/>
                <w:color w:val="000000"/>
              </w:rPr>
            </w:pPr>
            <w:r>
              <w:rPr>
                <w:b/>
                <w:color w:val="000000"/>
              </w:rPr>
              <w:t>M24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360" w:lineRule="auto"/>
              <w:jc w:val="both"/>
              <w:rPr>
                <w:color w:val="000000"/>
              </w:rPr>
            </w:pPr>
            <w:r>
              <w:rPr>
                <w:lang w:val="sr-Latn-CS"/>
              </w:rPr>
              <w:t xml:space="preserve">Milošević, I., Šimonji Černak, R. (2019). Odnos između percipirane razredne klime, motiva postignuća i školskog uspeha kod učenika osnovnih i srednjih škola. </w:t>
            </w:r>
            <w:r>
              <w:rPr>
                <w:i/>
                <w:lang w:val="sr-Latn-CS"/>
              </w:rPr>
              <w:t>Zbornik instituta za pedagoška istraživanja</w:t>
            </w:r>
            <w:r>
              <w:rPr>
                <w:lang w:val="sr-Latn-CS"/>
              </w:rPr>
              <w:t xml:space="preserve">, </w:t>
            </w:r>
            <w:r>
              <w:rPr>
                <w:i/>
                <w:lang w:val="sr-Latn-CS"/>
              </w:rPr>
              <w:t>51</w:t>
            </w:r>
            <w:r>
              <w:rPr>
                <w:lang w:val="sr-Latn-CS"/>
              </w:rPr>
              <w:t xml:space="preserve">, 2019, 426- 460.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pacing w:line="256" w:lineRule="auto"/>
              <w:jc w:val="center"/>
              <w:rPr>
                <w:b/>
                <w:color w:val="000000"/>
              </w:rPr>
            </w:pPr>
            <w:r>
              <w:rPr>
                <w:b/>
                <w:color w:val="000000"/>
              </w:rPr>
              <w:t>M24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jc w:val="both"/>
              <w:rPr>
                <w:b/>
                <w:color w:val="000000"/>
                <w:lang w:val="sr-Cyrl-RS"/>
              </w:rPr>
            </w:pPr>
            <w:r>
              <w:rPr>
                <w:lang w:val="sr-Latn-RS"/>
              </w:rPr>
              <w:t xml:space="preserve">Trbojević, A., Španović, S., Hus, V. (2019).  </w:t>
            </w:r>
            <w:r>
              <w:t xml:space="preserve">How Students View the Role of the Textbook Nature and Society in the Adoption of Social Contents. </w:t>
            </w:r>
            <w:r>
              <w:rPr>
                <w:i/>
                <w:lang w:val="pl-PL"/>
              </w:rPr>
              <w:t>Zbornik Instituta za pedagoška istraživanja</w:t>
            </w:r>
            <w:r>
              <w:rPr>
                <w:lang w:val="pl-PL"/>
              </w:rPr>
              <w:t xml:space="preserve">, 51(1), 128-161. DOI: </w:t>
            </w:r>
            <w:r>
              <w:fldChar w:fldCharType="begin"/>
            </w:r>
            <w:r>
              <w:instrText xml:space="preserve"> HYPERLINK "https://doi.org/10.2298/ZIPI1901128T" \t "_blank" </w:instrText>
            </w:r>
            <w:r>
              <w:fldChar w:fldCharType="separate"/>
            </w:r>
            <w:r>
              <w:rPr>
                <w:rStyle w:val="Hyperlink"/>
                <w:lang w:val="pl-PL"/>
              </w:rPr>
              <w:t>https://doi.org/10.2298/ZIPI1901128T</w:t>
            </w:r>
            <w:r>
              <w:fldChar w:fldCharType="end"/>
            </w:r>
            <w:r>
              <w:rPr>
                <w:lang w:val="pl-PL"/>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pacing w:line="256" w:lineRule="auto"/>
              <w:jc w:val="center"/>
              <w:rPr>
                <w:rStyle w:val="fontstyle01"/>
                <w:sz w:val="22"/>
                <w:szCs w:val="22"/>
                <w:lang w:val="pl-PL"/>
              </w:rPr>
            </w:pPr>
            <w:r>
              <w:rPr>
                <w:rStyle w:val="fontstyle01"/>
                <w:b/>
                <w:lang w:val="pl-PL"/>
              </w:rPr>
              <w:t>M24</w:t>
            </w:r>
          </w:p>
          <w:p w:rsidR="0065272C" w:rsidRDefault="0065272C" w:rsidP="0065272C">
            <w:pPr>
              <w:spacing w:line="256" w:lineRule="auto"/>
              <w:jc w:val="center"/>
              <w:rPr>
                <w:rFonts w:ascii="Times New Roman" w:hAnsi="Times New Roman"/>
                <w:color w:val="000000"/>
                <w:sz w:val="24"/>
                <w:szCs w:val="24"/>
                <w:lang w:val="sr-Cyrl-RS"/>
              </w:rPr>
            </w:pP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jc w:val="both"/>
              <w:rPr>
                <w:shd w:val="clear" w:color="auto" w:fill="FFFFFF"/>
                <w:lang w:val="pl-PL"/>
              </w:rPr>
            </w:pPr>
            <w:r>
              <w:rPr>
                <w:lang w:val="pl-PL"/>
              </w:rPr>
              <w:t>Trbojevi</w:t>
            </w:r>
            <w:r>
              <w:rPr>
                <w:lang w:val="sr-Latn-RS"/>
              </w:rPr>
              <w:t xml:space="preserve">ć, </w:t>
            </w:r>
            <w:r>
              <w:rPr>
                <w:lang w:val="pl-PL"/>
              </w:rPr>
              <w:t>A</w:t>
            </w:r>
            <w:r>
              <w:rPr>
                <w:lang w:val="sr-Latn-RS"/>
              </w:rPr>
              <w:t xml:space="preserve">. (2019). </w:t>
            </w:r>
            <w:r>
              <w:rPr>
                <w:shd w:val="clear" w:color="auto" w:fill="FFFFFF"/>
                <w:lang w:val="pl-PL"/>
              </w:rPr>
              <w:t>Sadr</w:t>
            </w:r>
            <w:r>
              <w:rPr>
                <w:shd w:val="clear" w:color="auto" w:fill="FFFFFF"/>
                <w:lang w:val="sr-Latn-RS"/>
              </w:rPr>
              <w:t>ž</w:t>
            </w:r>
            <w:r>
              <w:rPr>
                <w:shd w:val="clear" w:color="auto" w:fill="FFFFFF"/>
                <w:lang w:val="pl-PL"/>
              </w:rPr>
              <w:t>aji</w:t>
            </w:r>
            <w:r>
              <w:rPr>
                <w:shd w:val="clear" w:color="auto" w:fill="FFFFFF"/>
                <w:lang w:val="sr-Latn-RS"/>
              </w:rPr>
              <w:t xml:space="preserve"> </w:t>
            </w:r>
            <w:r>
              <w:rPr>
                <w:shd w:val="clear" w:color="auto" w:fill="FFFFFF"/>
                <w:lang w:val="pl-PL"/>
              </w:rPr>
              <w:t>dru</w:t>
            </w:r>
            <w:r>
              <w:rPr>
                <w:shd w:val="clear" w:color="auto" w:fill="FFFFFF"/>
                <w:lang w:val="sr-Latn-RS"/>
              </w:rPr>
              <w:t>š</w:t>
            </w:r>
            <w:r>
              <w:rPr>
                <w:shd w:val="clear" w:color="auto" w:fill="FFFFFF"/>
                <w:lang w:val="pl-PL"/>
              </w:rPr>
              <w:t>tvenih</w:t>
            </w:r>
            <w:r>
              <w:rPr>
                <w:shd w:val="clear" w:color="auto" w:fill="FFFFFF"/>
                <w:lang w:val="sr-Latn-RS"/>
              </w:rPr>
              <w:t xml:space="preserve"> </w:t>
            </w:r>
            <w:r>
              <w:rPr>
                <w:shd w:val="clear" w:color="auto" w:fill="FFFFFF"/>
                <w:lang w:val="pl-PL"/>
              </w:rPr>
              <w:t>nauka</w:t>
            </w:r>
            <w:r>
              <w:rPr>
                <w:shd w:val="clear" w:color="auto" w:fill="FFFFFF"/>
                <w:lang w:val="sr-Latn-RS"/>
              </w:rPr>
              <w:t xml:space="preserve"> </w:t>
            </w:r>
            <w:r>
              <w:rPr>
                <w:shd w:val="clear" w:color="auto" w:fill="FFFFFF"/>
                <w:lang w:val="pl-PL"/>
              </w:rPr>
              <w:t>u</w:t>
            </w:r>
            <w:r>
              <w:rPr>
                <w:shd w:val="clear" w:color="auto" w:fill="FFFFFF"/>
                <w:lang w:val="sr-Latn-RS"/>
              </w:rPr>
              <w:t xml:space="preserve"> </w:t>
            </w:r>
            <w:r>
              <w:rPr>
                <w:shd w:val="clear" w:color="auto" w:fill="FFFFFF"/>
                <w:lang w:val="pl-PL"/>
              </w:rPr>
              <w:t>ud</w:t>
            </w:r>
            <w:r>
              <w:rPr>
                <w:shd w:val="clear" w:color="auto" w:fill="FFFFFF"/>
                <w:lang w:val="sr-Latn-RS"/>
              </w:rPr>
              <w:t>ž</w:t>
            </w:r>
            <w:r>
              <w:rPr>
                <w:shd w:val="clear" w:color="auto" w:fill="FFFFFF"/>
                <w:lang w:val="pl-PL"/>
              </w:rPr>
              <w:t>beniku</w:t>
            </w:r>
            <w:r>
              <w:rPr>
                <w:shd w:val="clear" w:color="auto" w:fill="FFFFFF"/>
                <w:lang w:val="sr-Latn-RS"/>
              </w:rPr>
              <w:t xml:space="preserve"> </w:t>
            </w:r>
            <w:r>
              <w:rPr>
                <w:shd w:val="clear" w:color="auto" w:fill="FFFFFF"/>
                <w:lang w:val="pl-PL"/>
              </w:rPr>
              <w:t>Prirode</w:t>
            </w:r>
            <w:r>
              <w:rPr>
                <w:shd w:val="clear" w:color="auto" w:fill="FFFFFF"/>
                <w:lang w:val="sr-Latn-RS"/>
              </w:rPr>
              <w:t xml:space="preserve"> </w:t>
            </w:r>
            <w:r>
              <w:rPr>
                <w:shd w:val="clear" w:color="auto" w:fill="FFFFFF"/>
                <w:lang w:val="pl-PL"/>
              </w:rPr>
              <w:t>i</w:t>
            </w:r>
            <w:r>
              <w:rPr>
                <w:shd w:val="clear" w:color="auto" w:fill="FFFFFF"/>
                <w:lang w:val="sr-Latn-RS"/>
              </w:rPr>
              <w:t xml:space="preserve"> </w:t>
            </w:r>
            <w:r>
              <w:rPr>
                <w:shd w:val="clear" w:color="auto" w:fill="FFFFFF"/>
                <w:lang w:val="pl-PL"/>
              </w:rPr>
              <w:t>dru</w:t>
            </w:r>
            <w:r>
              <w:rPr>
                <w:shd w:val="clear" w:color="auto" w:fill="FFFFFF"/>
                <w:lang w:val="sr-Latn-RS"/>
              </w:rPr>
              <w:t>š</w:t>
            </w:r>
            <w:r>
              <w:rPr>
                <w:shd w:val="clear" w:color="auto" w:fill="FFFFFF"/>
                <w:lang w:val="pl-PL"/>
              </w:rPr>
              <w:t>tva</w:t>
            </w:r>
            <w:r>
              <w:rPr>
                <w:shd w:val="clear" w:color="auto" w:fill="FFFFFF"/>
                <w:lang w:val="sr-Latn-RS"/>
              </w:rPr>
              <w:t xml:space="preserve"> </w:t>
            </w:r>
            <w:r>
              <w:rPr>
                <w:shd w:val="clear" w:color="auto" w:fill="FFFFFF"/>
                <w:lang w:val="pl-PL"/>
              </w:rPr>
              <w:t>iz</w:t>
            </w:r>
            <w:r>
              <w:rPr>
                <w:shd w:val="clear" w:color="auto" w:fill="FFFFFF"/>
                <w:lang w:val="sr-Latn-RS"/>
              </w:rPr>
              <w:t xml:space="preserve"> </w:t>
            </w:r>
            <w:r>
              <w:rPr>
                <w:shd w:val="clear" w:color="auto" w:fill="FFFFFF"/>
                <w:lang w:val="pl-PL"/>
              </w:rPr>
              <w:t>ugla</w:t>
            </w:r>
            <w:r>
              <w:rPr>
                <w:shd w:val="clear" w:color="auto" w:fill="FFFFFF"/>
                <w:lang w:val="sr-Latn-RS"/>
              </w:rPr>
              <w:t xml:space="preserve"> </w:t>
            </w:r>
            <w:r>
              <w:rPr>
                <w:shd w:val="clear" w:color="auto" w:fill="FFFFFF"/>
                <w:lang w:val="pl-PL"/>
              </w:rPr>
              <w:t>u</w:t>
            </w:r>
            <w:r>
              <w:rPr>
                <w:shd w:val="clear" w:color="auto" w:fill="FFFFFF"/>
                <w:lang w:val="sr-Latn-RS"/>
              </w:rPr>
              <w:t>č</w:t>
            </w:r>
            <w:r>
              <w:rPr>
                <w:shd w:val="clear" w:color="auto" w:fill="FFFFFF"/>
                <w:lang w:val="pl-PL"/>
              </w:rPr>
              <w:t>enika</w:t>
            </w:r>
            <w:r>
              <w:rPr>
                <w:shd w:val="clear" w:color="auto" w:fill="FFFFFF"/>
                <w:lang w:val="sr-Latn-RS"/>
              </w:rPr>
              <w:t>.</w:t>
            </w:r>
            <w:r>
              <w:rPr>
                <w:shd w:val="clear" w:color="auto" w:fill="FFFFFF"/>
                <w:lang w:val="pl-PL"/>
              </w:rPr>
              <w:t> </w:t>
            </w:r>
            <w:r>
              <w:rPr>
                <w:i/>
                <w:iCs/>
                <w:shd w:val="clear" w:color="auto" w:fill="FFFFFF"/>
                <w:lang w:val="pl-PL"/>
              </w:rPr>
              <w:t>Zbornik radova Filozofskog fakulteta u Prištini</w:t>
            </w:r>
            <w:r>
              <w:rPr>
                <w:shd w:val="clear" w:color="auto" w:fill="FFFFFF"/>
                <w:lang w:val="pl-PL"/>
              </w:rPr>
              <w:t xml:space="preserve">, 49(1), 253-275. </w:t>
            </w:r>
          </w:p>
          <w:p w:rsidR="0065272C" w:rsidRDefault="0065272C" w:rsidP="0065272C">
            <w:pPr>
              <w:spacing w:line="256" w:lineRule="auto"/>
              <w:jc w:val="both"/>
              <w:rPr>
                <w:lang w:val="pl-PL"/>
              </w:rPr>
            </w:pPr>
            <w:r>
              <w:rPr>
                <w:rStyle w:val="fontstyle01"/>
                <w:lang w:val="pl-PL"/>
              </w:rPr>
              <w:t xml:space="preserve">DOI: </w:t>
            </w:r>
            <w:hyperlink r:id="rId11" w:history="1">
              <w:r>
                <w:rPr>
                  <w:rStyle w:val="Hyperlink"/>
                  <w:lang w:val="pl-PL"/>
                </w:rPr>
                <w:t>https://doi.org/10.5937/ZRFFP49-18127</w:t>
              </w:r>
            </w:hyperlink>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pacing w:line="256" w:lineRule="auto"/>
              <w:jc w:val="center"/>
              <w:rPr>
                <w:rStyle w:val="fontstyle01"/>
                <w:b/>
                <w:sz w:val="22"/>
                <w:szCs w:val="22"/>
              </w:rPr>
            </w:pPr>
            <w:r>
              <w:rPr>
                <w:rStyle w:val="fontstyle01"/>
                <w:b/>
                <w:lang w:val="pl-PL"/>
              </w:rPr>
              <w:t>M24</w:t>
            </w:r>
          </w:p>
          <w:p w:rsidR="0065272C" w:rsidRDefault="0065272C" w:rsidP="0065272C">
            <w:pPr>
              <w:spacing w:line="256" w:lineRule="auto"/>
              <w:jc w:val="center"/>
              <w:rPr>
                <w:rFonts w:ascii="Times New Roman" w:hAnsi="Times New Roman"/>
                <w:color w:val="000000"/>
                <w:sz w:val="24"/>
                <w:szCs w:val="24"/>
                <w:lang w:val="sr-Cyrl-RS"/>
              </w:rPr>
            </w:pP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jc w:val="both"/>
              <w:rPr>
                <w:color w:val="000000"/>
                <w:lang w:val="sr-Cyrl-RS"/>
              </w:rPr>
            </w:pPr>
            <w:r>
              <w:rPr>
                <w:color w:val="000000"/>
                <w:lang w:val="sr-Cyrl-RS"/>
              </w:rPr>
              <w:t>Nikolić,</w:t>
            </w:r>
            <w:r>
              <w:rPr>
                <w:color w:val="000000"/>
                <w:lang w:val="sr-Latn-RS"/>
              </w:rPr>
              <w:t xml:space="preserve"> </w:t>
            </w:r>
            <w:r>
              <w:rPr>
                <w:color w:val="000000"/>
                <w:lang w:val="sr-Cyrl-RS"/>
              </w:rPr>
              <w:t>G., Branković,</w:t>
            </w:r>
            <w:r>
              <w:rPr>
                <w:color w:val="000000"/>
                <w:lang w:val="sr-Latn-RS"/>
              </w:rPr>
              <w:t xml:space="preserve"> </w:t>
            </w:r>
            <w:r>
              <w:rPr>
                <w:color w:val="000000"/>
                <w:lang w:val="sr-Cyrl-RS"/>
              </w:rPr>
              <w:t>N., Lazić,B.,</w:t>
            </w:r>
            <w:r>
              <w:rPr>
                <w:color w:val="000000"/>
                <w:lang w:val="sr-Latn-RS"/>
              </w:rPr>
              <w:t xml:space="preserve"> </w:t>
            </w:r>
            <w:r>
              <w:rPr>
                <w:color w:val="000000"/>
                <w:lang w:val="sr-Cyrl-RS"/>
              </w:rPr>
              <w:t>Rakočević,</w:t>
            </w:r>
            <w:r>
              <w:rPr>
                <w:color w:val="000000"/>
                <w:lang w:val="sr-Latn-RS"/>
              </w:rPr>
              <w:t xml:space="preserve"> </w:t>
            </w:r>
            <w:r>
              <w:rPr>
                <w:color w:val="000000"/>
                <w:lang w:val="sr-Cyrl-RS"/>
              </w:rPr>
              <w:t xml:space="preserve">R.(2019). Inclusive Policy and Academic Achievements in Mathematics of Student with Special Educational Needs (SEN) in Republic of Serbia. </w:t>
            </w:r>
            <w:r>
              <w:rPr>
                <w:i/>
                <w:color w:val="000000"/>
                <w:lang w:val="sr-Cyrl-RS"/>
              </w:rPr>
              <w:t>Mediterranean Jounal of Social Sciences</w:t>
            </w:r>
            <w:r>
              <w:rPr>
                <w:color w:val="000000"/>
                <w:lang w:val="sr-Cyrl-RS"/>
              </w:rPr>
              <w:t xml:space="preserve">. Vol 10 No 1. </w:t>
            </w:r>
            <w:r>
              <w:rPr>
                <w:color w:val="000000"/>
                <w:lang w:val="sr-Latn-RS"/>
              </w:rPr>
              <w:t>p</w:t>
            </w:r>
            <w:r>
              <w:rPr>
                <w:color w:val="000000"/>
                <w:lang w:val="sr-Cyrl-RS"/>
              </w:rPr>
              <w:t xml:space="preserve">p.75-85. </w:t>
            </w:r>
          </w:p>
          <w:p w:rsidR="0065272C" w:rsidRDefault="0065272C" w:rsidP="0065272C">
            <w:pPr>
              <w:spacing w:line="256" w:lineRule="auto"/>
              <w:jc w:val="both"/>
              <w:rPr>
                <w:b/>
                <w:color w:val="000000"/>
                <w:lang w:val="sr-Cyrl-RS"/>
              </w:rPr>
            </w:pPr>
            <w:r>
              <w:rPr>
                <w:color w:val="000000"/>
                <w:lang w:val="sr-Cyrl-RS"/>
              </w:rPr>
              <w:t>Doi: 10.2478/mjss-2019-0008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pacing w:line="256" w:lineRule="auto"/>
              <w:jc w:val="center"/>
              <w:rPr>
                <w:b/>
                <w:color w:val="000000"/>
                <w:lang w:val="sr-Latn-RS"/>
              </w:rPr>
            </w:pPr>
            <w:r>
              <w:rPr>
                <w:b/>
                <w:color w:val="000000"/>
                <w:lang w:val="sr-Latn-RS"/>
              </w:rPr>
              <w:t>M24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rPr>
                <w:b/>
                <w:color w:val="000000"/>
                <w:lang w:val="sr-Cyrl-RS"/>
              </w:rPr>
            </w:pPr>
            <w:r>
              <w:rPr>
                <w:rStyle w:val="Emphasis"/>
                <w:rFonts w:eastAsiaTheme="majorEastAsia"/>
                <w:color w:val="111111"/>
                <w:bdr w:val="none" w:sz="0" w:space="0" w:color="auto" w:frame="1"/>
                <w:shd w:val="clear" w:color="auto" w:fill="FFFFFF"/>
                <w:lang w:val="sr-Latn-RS"/>
              </w:rPr>
              <w:t xml:space="preserve">Bošnjak Stepanović, M., Pešut, N., Branković, N., Kozoderović, G. (2019). </w:t>
            </w:r>
            <w:r>
              <w:rPr>
                <w:color w:val="111111"/>
                <w:shd w:val="clear" w:color="auto" w:fill="FFFFFF"/>
              </w:rPr>
              <w:t xml:space="preserve">Primary School Students’ Misconceptions about the Physical </w:t>
            </w:r>
            <w:proofErr w:type="spellStart"/>
            <w:r>
              <w:rPr>
                <w:color w:val="111111"/>
                <w:shd w:val="clear" w:color="auto" w:fill="FFFFFF"/>
              </w:rPr>
              <w:t>Propertiesof</w:t>
            </w:r>
            <w:proofErr w:type="spellEnd"/>
            <w:r>
              <w:rPr>
                <w:color w:val="111111"/>
                <w:shd w:val="clear" w:color="auto" w:fill="FFFFFF"/>
              </w:rPr>
              <w:t xml:space="preserve"> Water, </w:t>
            </w:r>
            <w:r>
              <w:rPr>
                <w:i/>
                <w:color w:val="111111"/>
                <w:shd w:val="clear" w:color="auto" w:fill="FFFFFF"/>
              </w:rPr>
              <w:t>The New Educational Review</w:t>
            </w:r>
            <w:r>
              <w:rPr>
                <w:color w:val="111111"/>
                <w:shd w:val="clear" w:color="auto" w:fill="FFFFFF"/>
              </w:rPr>
              <w:t>, Vol. 57, 127-138,</w:t>
            </w:r>
            <w:r>
              <w:t xml:space="preserve"> DOI: 10.15804/tner.2019.57.3.10, </w:t>
            </w:r>
            <w:r>
              <w:rPr>
                <w:color w:val="111111"/>
                <w:shd w:val="clear" w:color="auto" w:fill="FFFFFF"/>
              </w:rPr>
              <w:t>ISSN 1732-6729,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pacing w:line="256" w:lineRule="auto"/>
              <w:jc w:val="center"/>
              <w:rPr>
                <w:b/>
                <w:color w:val="000000"/>
                <w:lang w:val="sr-Latn-RS"/>
              </w:rPr>
            </w:pPr>
            <w:r>
              <w:rPr>
                <w:b/>
                <w:iCs/>
                <w:lang w:val="sr-Cyrl-RS" w:eastAsia="sr-Latn-RS"/>
              </w:rPr>
              <w:t>М24</w:t>
            </w:r>
          </w:p>
        </w:tc>
      </w:tr>
      <w:tr w:rsidR="0065272C" w:rsidRPr="00B37402" w:rsidTr="000046C6">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65272C" w:rsidRPr="0065272C" w:rsidRDefault="0065272C" w:rsidP="0065272C">
            <w:pPr>
              <w:pStyle w:val="ListParagraph"/>
              <w:numPr>
                <w:ilvl w:val="0"/>
                <w:numId w:val="1"/>
              </w:numPr>
              <w:suppressAutoHyphens/>
              <w:snapToGrid w:val="0"/>
              <w:spacing w:after="60" w:line="276" w:lineRule="auto"/>
              <w:ind w:left="357" w:hanging="357"/>
              <w:rPr>
                <w:rFonts w:ascii="Times New Roman" w:eastAsia="Calibri" w:hAnsi="Times New Roman" w:cs="Times New Roman"/>
                <w:lang w:eastAsia="zh-CN"/>
              </w:rPr>
            </w:pPr>
          </w:p>
        </w:tc>
        <w:tc>
          <w:tcPr>
            <w:tcW w:w="7655" w:type="dxa"/>
            <w:tcBorders>
              <w:top w:val="single" w:sz="4" w:space="0" w:color="000000"/>
              <w:left w:val="single" w:sz="4" w:space="0" w:color="000000"/>
              <w:bottom w:val="single" w:sz="4" w:space="0" w:color="000000"/>
            </w:tcBorders>
            <w:shd w:val="clear" w:color="auto" w:fill="auto"/>
          </w:tcPr>
          <w:p w:rsidR="0065272C" w:rsidRDefault="0065272C" w:rsidP="0065272C">
            <w:pPr>
              <w:spacing w:line="256" w:lineRule="auto"/>
              <w:rPr>
                <w:sz w:val="20"/>
                <w:szCs w:val="20"/>
                <w:lang w:val="sr-Cyrl-RS"/>
              </w:rPr>
            </w:pPr>
            <w:hyperlink r:id="rId12" w:history="1">
              <w:r>
                <w:rPr>
                  <w:rStyle w:val="Hyperlink"/>
                  <w:rFonts w:eastAsia="Calibri"/>
                  <w:lang w:val="sr-Latn-RS"/>
                </w:rPr>
                <w:t>Blagdanić Sanja R.</w:t>
              </w:r>
            </w:hyperlink>
            <w:r>
              <w:rPr>
                <w:rFonts w:eastAsia="Calibri"/>
                <w:bCs/>
                <w:lang w:val="sr-Latn-RS"/>
              </w:rPr>
              <w:t>, </w:t>
            </w:r>
            <w:r>
              <w:fldChar w:fldCharType="begin"/>
            </w:r>
            <w:r>
              <w:instrText xml:space="preserve"> HYPERLINK "https://scindeks.ceon.rs/Related.aspx?artaun=213977" </w:instrText>
            </w:r>
            <w:r>
              <w:fldChar w:fldCharType="separate"/>
            </w:r>
            <w:r>
              <w:rPr>
                <w:rStyle w:val="Hyperlink"/>
                <w:rFonts w:eastAsia="Calibri"/>
                <w:lang w:val="sr-Latn-RS"/>
              </w:rPr>
              <w:t>Radovanović Ivica V.</w:t>
            </w:r>
            <w:r>
              <w:fldChar w:fldCharType="end"/>
            </w:r>
            <w:r>
              <w:rPr>
                <w:rFonts w:eastAsia="Calibri"/>
                <w:bCs/>
                <w:lang w:val="sr-Latn-RS"/>
              </w:rPr>
              <w:t>, </w:t>
            </w:r>
            <w:r>
              <w:fldChar w:fldCharType="begin"/>
            </w:r>
            <w:r>
              <w:instrText xml:space="preserve"> HYPERLINK "https://scindeks.ceon.rs/Related.aspx?artaun=208088" </w:instrText>
            </w:r>
            <w:r>
              <w:fldChar w:fldCharType="separate"/>
            </w:r>
            <w:r>
              <w:rPr>
                <w:rStyle w:val="Hyperlink"/>
                <w:rFonts w:eastAsia="Calibri"/>
                <w:lang w:val="sr-Latn-RS"/>
              </w:rPr>
              <w:t>Bošnjak-Stepanović Marija T.</w:t>
            </w:r>
            <w:r>
              <w:fldChar w:fldCharType="end"/>
            </w:r>
            <w:r>
              <w:rPr>
                <w:rFonts w:eastAsia="Calibri"/>
                <w:lang w:val="sr-Latn-RS"/>
              </w:rPr>
              <w:t xml:space="preserve"> (2019). </w:t>
            </w:r>
            <w:r>
              <w:rPr>
                <w:rFonts w:eastAsia="Calibri"/>
                <w:bCs/>
                <w:lang w:val="sr-Latn-RS"/>
              </w:rPr>
              <w:t xml:space="preserve">Predubeđenja učenika o prirodnim fenomenima na početku osnovnog obrazovanja - okov i/ili mogućnost. </w:t>
            </w:r>
            <w:r>
              <w:rPr>
                <w:rFonts w:eastAsia="Calibri"/>
                <w:bCs/>
                <w:i/>
                <w:lang w:val="sr-Latn-RS"/>
              </w:rPr>
              <w:t>Inovacije u nastavi - časopis za savremenu nastavu</w:t>
            </w:r>
            <w:r>
              <w:rPr>
                <w:rFonts w:eastAsia="Calibri"/>
                <w:bCs/>
                <w:lang w:val="sr-Latn-RS"/>
              </w:rPr>
              <w:t xml:space="preserve">. </w:t>
            </w:r>
            <w:r>
              <w:rPr>
                <w:rFonts w:eastAsia="Calibri"/>
                <w:lang w:val="sr-Latn-RS"/>
              </w:rPr>
              <w:t xml:space="preserve">2019, vol. 32, br. 1, str. 16-29. ISSN </w:t>
            </w:r>
            <w:r>
              <w:rPr>
                <w:rFonts w:eastAsia="Calibri"/>
                <w:lang w:val="en-GB"/>
              </w:rPr>
              <w:t>0352-2334. DOI</w:t>
            </w:r>
            <w:proofErr w:type="gramStart"/>
            <w:r>
              <w:rPr>
                <w:rFonts w:eastAsia="Calibri"/>
                <w:lang w:val="en-GB"/>
              </w:rPr>
              <w:t>:10.5937</w:t>
            </w:r>
            <w:proofErr w:type="gramEnd"/>
            <w:r>
              <w:rPr>
                <w:rFonts w:eastAsia="Calibri"/>
                <w:lang w:val="en-GB"/>
              </w:rPr>
              <w:t>/inovacije1901016B.</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272C" w:rsidRDefault="0065272C" w:rsidP="0065272C">
            <w:pPr>
              <w:spacing w:line="256" w:lineRule="auto"/>
              <w:jc w:val="center"/>
              <w:rPr>
                <w:b/>
                <w:color w:val="000000"/>
                <w:lang w:val="sr-Latn-RS"/>
              </w:rPr>
            </w:pPr>
            <w:r>
              <w:rPr>
                <w:b/>
                <w:color w:val="000000"/>
                <w:lang w:val="sr-Latn-RS"/>
              </w:rPr>
              <w:t>M24</w:t>
            </w:r>
          </w:p>
        </w:tc>
      </w:tr>
      <w:tr w:rsidR="00E33234" w:rsidRPr="00B37402" w:rsidTr="00CA7B2D">
        <w:trPr>
          <w:trHeight w:val="227"/>
        </w:trPr>
        <w:tc>
          <w:tcPr>
            <w:tcW w:w="567"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eastAsia="zh-CN"/>
              </w:rPr>
            </w:pPr>
            <w:r w:rsidRPr="00B37402">
              <w:rPr>
                <w:rFonts w:ascii="Times New Roman" w:eastAsia="Calibri" w:hAnsi="Times New Roman" w:cs="Times New Roman"/>
                <w:lang w:eastAsia="zh-CN"/>
              </w:rPr>
              <w:t>n</w:t>
            </w:r>
          </w:p>
        </w:tc>
        <w:tc>
          <w:tcPr>
            <w:tcW w:w="7655" w:type="dxa"/>
            <w:tcBorders>
              <w:top w:val="single" w:sz="4" w:space="0" w:color="000000"/>
              <w:left w:val="single" w:sz="4" w:space="0" w:color="000000"/>
              <w:bottom w:val="single" w:sz="4" w:space="0" w:color="000000"/>
            </w:tcBorders>
            <w:shd w:val="clear" w:color="auto" w:fill="auto"/>
            <w:vAlign w:val="center"/>
          </w:tcPr>
          <w:p w:rsidR="00E33234" w:rsidRPr="00B37402" w:rsidRDefault="00E33234" w:rsidP="0065272C">
            <w:pPr>
              <w:suppressAutoHyphens/>
              <w:snapToGrid w:val="0"/>
              <w:spacing w:after="60" w:line="276" w:lineRule="auto"/>
              <w:rPr>
                <w:rFonts w:ascii="Times New Roman" w:eastAsia="Calibri" w:hAnsi="Times New Roman" w:cs="Times New Roman"/>
                <w:lang w:val="sr-Latn-RS" w:eastAsia="zh-CN"/>
              </w:rPr>
            </w:pPr>
            <w:r w:rsidRPr="00B37402">
              <w:rPr>
                <w:rFonts w:ascii="Times New Roman" w:eastAsia="Calibri" w:hAnsi="Times New Roman" w:cs="Times New Roman"/>
                <w:lang w:val="sr-Latn-RS" w:eastAsia="zh-CN"/>
              </w:rPr>
              <w:t xml:space="preserve">Радова на SCI/SSCI листи према укупном броју наставника и сарадника: </w:t>
            </w:r>
            <w:r w:rsidR="0065272C">
              <w:rPr>
                <w:rFonts w:ascii="Times New Roman" w:eastAsia="Calibri" w:hAnsi="Times New Roman" w:cs="Times New Roman"/>
                <w:lang w:val="sr-Latn-RS" w:eastAsia="zh-CN"/>
              </w:rPr>
              <w:t>98</w:t>
            </w:r>
            <w:r w:rsidRPr="00B37402">
              <w:rPr>
                <w:rFonts w:ascii="Times New Roman" w:eastAsia="Calibri" w:hAnsi="Times New Roman" w:cs="Times New Roman"/>
                <w:lang w:val="sr-Latn-RS" w:eastAsia="zh-CN"/>
              </w:rPr>
              <w:t>/65=</w:t>
            </w:r>
            <w:r w:rsidR="0065272C">
              <w:rPr>
                <w:rFonts w:ascii="Times New Roman" w:eastAsia="Calibri" w:hAnsi="Times New Roman" w:cs="Times New Roman"/>
                <w:lang w:val="sr-Latn-RS" w:eastAsia="zh-CN"/>
              </w:rPr>
              <w:t>1</w:t>
            </w:r>
            <w:r w:rsidRPr="00B37402">
              <w:rPr>
                <w:rFonts w:ascii="Times New Roman" w:eastAsia="Calibri" w:hAnsi="Times New Roman" w:cs="Times New Roman"/>
                <w:lang w:val="sr-Latn-RS" w:eastAsia="zh-CN"/>
              </w:rPr>
              <w:t>,5</w:t>
            </w:r>
            <w:r w:rsidR="0065272C">
              <w:rPr>
                <w:rFonts w:ascii="Times New Roman" w:eastAsia="Calibri" w:hAnsi="Times New Roman" w:cs="Times New Roman"/>
                <w:lang w:val="sr-Latn-RS" w:eastAsia="zh-CN"/>
              </w:rPr>
              <w:t>1</w:t>
            </w:r>
            <w:bookmarkStart w:id="1" w:name="_GoBack"/>
            <w:bookmarkEnd w:id="1"/>
            <w:r w:rsidRPr="00B37402">
              <w:rPr>
                <w:rFonts w:ascii="Times New Roman" w:eastAsia="Calibri" w:hAnsi="Times New Roman" w:cs="Times New Roman"/>
                <w:lang w:val="sr-Latn-RS" w:eastAsia="zh-CN"/>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3234" w:rsidRPr="00B37402" w:rsidRDefault="00E33234" w:rsidP="00CA7B2D">
            <w:pPr>
              <w:suppressAutoHyphens/>
              <w:snapToGrid w:val="0"/>
              <w:spacing w:after="60" w:line="276" w:lineRule="auto"/>
              <w:rPr>
                <w:rFonts w:ascii="Times New Roman" w:eastAsia="Calibri" w:hAnsi="Times New Roman" w:cs="Times New Roman"/>
                <w:lang w:val="sr-Latn-RS" w:eastAsia="zh-CN"/>
              </w:rPr>
            </w:pPr>
          </w:p>
        </w:tc>
      </w:tr>
    </w:tbl>
    <w:p w:rsidR="001A7791" w:rsidRDefault="001A7791"/>
    <w:sectPr w:rsidR="001A7791" w:rsidSect="00080692">
      <w:pgSz w:w="11906" w:h="16838"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ResavskaBG">
    <w:altName w:val="Times New Roman"/>
    <w:panose1 w:val="00000000000000000000"/>
    <w:charset w:val="00"/>
    <w:family w:val="roman"/>
    <w:notTrueType/>
    <w:pitch w:val="default"/>
  </w:font>
  <w:font w:name="Candara">
    <w:panose1 w:val="020E0502030303020204"/>
    <w:charset w:val="EE"/>
    <w:family w:val="swiss"/>
    <w:pitch w:val="variable"/>
    <w:sig w:usb0="A00002EF" w:usb1="4000A44B" w:usb2="00000000" w:usb3="00000000" w:csb0="0000019F" w:csb1="00000000"/>
  </w:font>
  <w:font w:name="MinionPro-Regular">
    <w:altName w:val="MS Mincho"/>
    <w:panose1 w:val="00000000000000000000"/>
    <w:charset w:val="80"/>
    <w:family w:val="auto"/>
    <w:notTrueType/>
    <w:pitch w:val="default"/>
    <w:sig w:usb0="00000000"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BB663A"/>
    <w:multiLevelType w:val="hybridMultilevel"/>
    <w:tmpl w:val="20A606A6"/>
    <w:lvl w:ilvl="0" w:tplc="135E4136">
      <w:start w:val="6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234"/>
    <w:rsid w:val="00080692"/>
    <w:rsid w:val="001A7791"/>
    <w:rsid w:val="0065272C"/>
    <w:rsid w:val="00E332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FA12B"/>
  <w15:chartTrackingRefBased/>
  <w15:docId w15:val="{F2CFE631-4424-4093-B396-2658B1B95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34"/>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5272C"/>
    <w:rPr>
      <w:color w:val="0563C1" w:themeColor="hyperlink"/>
      <w:u w:val="single"/>
    </w:rPr>
  </w:style>
  <w:style w:type="character" w:customStyle="1" w:styleId="fontstyle01">
    <w:name w:val="fontstyle01"/>
    <w:rsid w:val="0065272C"/>
    <w:rPr>
      <w:rFonts w:ascii="ResavskaBG" w:hAnsi="ResavskaBG" w:hint="default"/>
      <w:b w:val="0"/>
      <w:bCs w:val="0"/>
      <w:i w:val="0"/>
      <w:iCs w:val="0"/>
      <w:color w:val="1D2228"/>
      <w:sz w:val="24"/>
      <w:szCs w:val="24"/>
    </w:rPr>
  </w:style>
  <w:style w:type="character" w:styleId="Emphasis">
    <w:name w:val="Emphasis"/>
    <w:basedOn w:val="DefaultParagraphFont"/>
    <w:uiPriority w:val="20"/>
    <w:qFormat/>
    <w:rsid w:val="0065272C"/>
    <w:rPr>
      <w:i/>
      <w:iCs/>
    </w:rPr>
  </w:style>
  <w:style w:type="paragraph" w:styleId="ListParagraph">
    <w:name w:val="List Paragraph"/>
    <w:basedOn w:val="Normal"/>
    <w:uiPriority w:val="34"/>
    <w:qFormat/>
    <w:rsid w:val="006527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02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298/ZIPI1901128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gt.uns.ac.rs/en/homepage/pannonica/all-volumes/pannonica-volume-24-issue-2-june-2020/pannonica-volume-24-issue-2-6-june-2020/" TargetMode="External"/><Relationship Id="rId12" Type="http://schemas.openxmlformats.org/officeDocument/2006/relationships/hyperlink" Target="https://scindeks.ceon.rs/Related.aspx?artaun=1646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31212/tokovi.2020.1.ant.221-242" TargetMode="External"/><Relationship Id="rId11" Type="http://schemas.openxmlformats.org/officeDocument/2006/relationships/hyperlink" Target="https://doi.org/10.5937/ZRFFP49-18127" TargetMode="External"/><Relationship Id="rId5" Type="http://schemas.openxmlformats.org/officeDocument/2006/relationships/hyperlink" Target="https://doi.org/10.18485/ms_zmskij.2020.68.1.8" TargetMode="External"/><Relationship Id="rId10" Type="http://schemas.openxmlformats.org/officeDocument/2006/relationships/hyperlink" Target="https://doi.org/10.21301/eap.v14i2.12" TargetMode="External"/><Relationship Id="rId4" Type="http://schemas.openxmlformats.org/officeDocument/2006/relationships/webSettings" Target="webSettings.xml"/><Relationship Id="rId9" Type="http://schemas.openxmlformats.org/officeDocument/2006/relationships/hyperlink" Target="https://doi.org/10.2298/SOC1903389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3685</Words>
  <Characters>21007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Majski</dc:creator>
  <cp:keywords/>
  <dc:description/>
  <cp:lastModifiedBy>Vladimir Majski</cp:lastModifiedBy>
  <cp:revision>2</cp:revision>
  <dcterms:created xsi:type="dcterms:W3CDTF">2022-03-30T09:11:00Z</dcterms:created>
  <dcterms:modified xsi:type="dcterms:W3CDTF">2022-04-08T11:14:00Z</dcterms:modified>
</cp:coreProperties>
</file>